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ind w:left="5760" w:firstLine="0"/>
        <w:jc w:val="both"/>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ciudad, día del mes del año</w:t>
      </w:r>
    </w:p>
    <w:p w:rsidR="00000000" w:rsidDel="00000000" w:rsidP="00000000" w:rsidRDefault="00000000" w:rsidRPr="00000000" w14:paraId="00000002">
      <w:pPr>
        <w:pageBreakBefore w:val="0"/>
        <w:ind w:left="0" w:firstLine="0"/>
        <w:jc w:val="both"/>
        <w:rPr>
          <w:rFonts w:ascii="Book Antiqua" w:cs="Book Antiqua" w:eastAsia="Book Antiqua" w:hAnsi="Book Antiqua"/>
          <w:b w:val="1"/>
          <w:sz w:val="24"/>
          <w:szCs w:val="24"/>
        </w:rPr>
      </w:pPr>
      <w:r w:rsidDel="00000000" w:rsidR="00000000" w:rsidRPr="00000000">
        <w:rPr>
          <w:rtl w:val="0"/>
        </w:rPr>
      </w:r>
    </w:p>
    <w:p w:rsidR="00000000" w:rsidDel="00000000" w:rsidP="00000000" w:rsidRDefault="00000000" w:rsidRPr="00000000" w14:paraId="00000003">
      <w:pPr>
        <w:pageBreakBefore w:val="0"/>
        <w:spacing w:line="360" w:lineRule="auto"/>
        <w:jc w:val="both"/>
        <w:rPr>
          <w:rFonts w:ascii="Book Antiqua" w:cs="Book Antiqua" w:eastAsia="Book Antiqua" w:hAnsi="Book Antiqua"/>
          <w:b w:val="1"/>
          <w:sz w:val="24"/>
          <w:szCs w:val="24"/>
        </w:rPr>
      </w:pPr>
      <w:r w:rsidDel="00000000" w:rsidR="00000000" w:rsidRPr="00000000">
        <w:rPr>
          <w:rtl w:val="0"/>
        </w:rPr>
      </w:r>
    </w:p>
    <w:p w:rsidR="00000000" w:rsidDel="00000000" w:rsidP="00000000" w:rsidRDefault="00000000" w:rsidRPr="00000000" w14:paraId="00000004">
      <w:pPr>
        <w:pageBreakBefore w:val="0"/>
        <w:spacing w:line="360" w:lineRule="auto"/>
        <w:jc w:val="both"/>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Señor/Señora</w:t>
      </w:r>
    </w:p>
    <w:p w:rsidR="00000000" w:rsidDel="00000000" w:rsidP="00000000" w:rsidRDefault="00000000" w:rsidRPr="00000000" w14:paraId="00000005">
      <w:pPr>
        <w:pageBreakBefore w:val="0"/>
        <w:spacing w:line="360" w:lineRule="auto"/>
        <w:jc w:val="both"/>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Oficina de control interno </w:t>
      </w:r>
    </w:p>
    <w:p w:rsidR="00000000" w:rsidDel="00000000" w:rsidP="00000000" w:rsidRDefault="00000000" w:rsidRPr="00000000" w14:paraId="00000006">
      <w:pPr>
        <w:pageBreakBefore w:val="0"/>
        <w:spacing w:line="360" w:lineRule="auto"/>
        <w:jc w:val="both"/>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E.S.D.</w:t>
      </w:r>
    </w:p>
    <w:p w:rsidR="00000000" w:rsidDel="00000000" w:rsidP="00000000" w:rsidRDefault="00000000" w:rsidRPr="00000000" w14:paraId="00000007">
      <w:pPr>
        <w:pageBreakBefore w:val="0"/>
        <w:spacing w:line="360" w:lineRule="auto"/>
        <w:jc w:val="both"/>
        <w:rPr>
          <w:rFonts w:ascii="Book Antiqua" w:cs="Book Antiqua" w:eastAsia="Book Antiqua" w:hAnsi="Book Antiqua"/>
          <w:b w:val="1"/>
          <w:sz w:val="24"/>
          <w:szCs w:val="24"/>
        </w:rPr>
      </w:pPr>
      <w:r w:rsidDel="00000000" w:rsidR="00000000" w:rsidRPr="00000000">
        <w:rPr>
          <w:rtl w:val="0"/>
        </w:rPr>
      </w:r>
    </w:p>
    <w:p w:rsidR="00000000" w:rsidDel="00000000" w:rsidP="00000000" w:rsidRDefault="00000000" w:rsidRPr="00000000" w14:paraId="00000008">
      <w:pPr>
        <w:pageBreakBefore w:val="0"/>
        <w:spacing w:line="360" w:lineRule="auto"/>
        <w:jc w:val="both"/>
        <w:rPr>
          <w:rFonts w:ascii="Book Antiqua" w:cs="Book Antiqua" w:eastAsia="Book Antiqua" w:hAnsi="Book Antiqua"/>
          <w:b w:val="1"/>
          <w:sz w:val="24"/>
          <w:szCs w:val="24"/>
        </w:rPr>
      </w:pPr>
      <w:r w:rsidDel="00000000" w:rsidR="00000000" w:rsidRPr="00000000">
        <w:rPr>
          <w:rtl w:val="0"/>
        </w:rPr>
      </w:r>
    </w:p>
    <w:p w:rsidR="00000000" w:rsidDel="00000000" w:rsidP="00000000" w:rsidRDefault="00000000" w:rsidRPr="00000000" w14:paraId="00000009">
      <w:pPr>
        <w:pageBreakBefore w:val="0"/>
        <w:spacing w:line="360" w:lineRule="auto"/>
        <w:ind w:left="2880" w:firstLine="0"/>
        <w:jc w:val="both"/>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REF: Objeción de conciencia frente a </w:t>
      </w:r>
      <w:r w:rsidDel="00000000" w:rsidR="00000000" w:rsidRPr="00000000">
        <w:rPr>
          <w:rFonts w:ascii="Book Antiqua" w:cs="Book Antiqua" w:eastAsia="Book Antiqua" w:hAnsi="Book Antiqua"/>
          <w:b w:val="1"/>
          <w:sz w:val="24"/>
          <w:szCs w:val="24"/>
          <w:rtl w:val="0"/>
        </w:rPr>
        <w:t xml:space="preserve">orden de superior</w:t>
      </w:r>
      <w:r w:rsidDel="00000000" w:rsidR="00000000" w:rsidRPr="00000000">
        <w:rPr>
          <w:rFonts w:ascii="Book Antiqua" w:cs="Book Antiqua" w:eastAsia="Book Antiqua" w:hAnsi="Book Antiqua"/>
          <w:b w:val="1"/>
          <w:sz w:val="24"/>
          <w:szCs w:val="24"/>
          <w:rtl w:val="0"/>
        </w:rPr>
        <w:t xml:space="preserve">.</w:t>
      </w:r>
    </w:p>
    <w:p w:rsidR="00000000" w:rsidDel="00000000" w:rsidP="00000000" w:rsidRDefault="00000000" w:rsidRPr="00000000" w14:paraId="0000000A">
      <w:pPr>
        <w:pageBreakBefore w:val="0"/>
        <w:ind w:left="0" w:firstLine="0"/>
        <w:jc w:val="both"/>
        <w:rPr>
          <w:rFonts w:ascii="Book Antiqua" w:cs="Book Antiqua" w:eastAsia="Book Antiqua" w:hAnsi="Book Antiqua"/>
          <w:b w:val="1"/>
          <w:sz w:val="24"/>
          <w:szCs w:val="24"/>
        </w:rPr>
      </w:pPr>
      <w:r w:rsidDel="00000000" w:rsidR="00000000" w:rsidRPr="00000000">
        <w:rPr>
          <w:rtl w:val="0"/>
        </w:rPr>
      </w:r>
    </w:p>
    <w:p w:rsidR="00000000" w:rsidDel="00000000" w:rsidP="00000000" w:rsidRDefault="00000000" w:rsidRPr="00000000" w14:paraId="0000000B">
      <w:pPr>
        <w:pageBreakBefore w:val="0"/>
        <w:ind w:left="0" w:firstLine="0"/>
        <w:jc w:val="both"/>
        <w:rPr>
          <w:rFonts w:ascii="Book Antiqua" w:cs="Book Antiqua" w:eastAsia="Book Antiqua" w:hAnsi="Book Antiqua"/>
          <w:b w:val="1"/>
          <w:sz w:val="24"/>
          <w:szCs w:val="24"/>
        </w:rPr>
      </w:pPr>
      <w:r w:rsidDel="00000000" w:rsidR="00000000" w:rsidRPr="00000000">
        <w:rPr>
          <w:rtl w:val="0"/>
        </w:rPr>
      </w:r>
    </w:p>
    <w:p w:rsidR="00000000" w:rsidDel="00000000" w:rsidP="00000000" w:rsidRDefault="00000000" w:rsidRPr="00000000" w14:paraId="0000000C">
      <w:pPr>
        <w:pageBreakBefore w:val="0"/>
        <w:numPr>
          <w:ilvl w:val="0"/>
          <w:numId w:val="1"/>
        </w:numPr>
        <w:ind w:left="720" w:hanging="360"/>
        <w:jc w:val="both"/>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Encabezado </w:t>
      </w:r>
    </w:p>
    <w:p w:rsidR="00000000" w:rsidDel="00000000" w:rsidP="00000000" w:rsidRDefault="00000000" w:rsidRPr="00000000" w14:paraId="0000000D">
      <w:pPr>
        <w:pageBreakBefore w:val="0"/>
        <w:ind w:left="720" w:firstLine="0"/>
        <w:jc w:val="both"/>
        <w:rPr>
          <w:rFonts w:ascii="Book Antiqua" w:cs="Book Antiqua" w:eastAsia="Book Antiqua" w:hAnsi="Book Antiqua"/>
          <w:b w:val="1"/>
          <w:sz w:val="24"/>
          <w:szCs w:val="24"/>
        </w:rPr>
      </w:pPr>
      <w:r w:rsidDel="00000000" w:rsidR="00000000" w:rsidRPr="00000000">
        <w:rPr>
          <w:rtl w:val="0"/>
        </w:rPr>
      </w:r>
    </w:p>
    <w:p w:rsidR="00000000" w:rsidDel="00000000" w:rsidP="00000000" w:rsidRDefault="00000000" w:rsidRPr="00000000" w14:paraId="0000000E">
      <w:pPr>
        <w:pageBreakBefore w:val="0"/>
        <w:ind w:left="0" w:firstLine="0"/>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______, </w:t>
      </w:r>
      <w:r w:rsidDel="00000000" w:rsidR="00000000" w:rsidRPr="00000000">
        <w:rPr>
          <w:rFonts w:ascii="Book Antiqua" w:cs="Book Antiqua" w:eastAsia="Book Antiqua" w:hAnsi="Book Antiqua"/>
          <w:sz w:val="24"/>
          <w:szCs w:val="24"/>
          <w:rtl w:val="0"/>
        </w:rPr>
        <w:t xml:space="preserve">identificadx</w:t>
      </w:r>
      <w:r w:rsidDel="00000000" w:rsidR="00000000" w:rsidRPr="00000000">
        <w:rPr>
          <w:rFonts w:ascii="Book Antiqua" w:cs="Book Antiqua" w:eastAsia="Book Antiqua" w:hAnsi="Book Antiqua"/>
          <w:sz w:val="24"/>
          <w:szCs w:val="24"/>
          <w:rtl w:val="0"/>
        </w:rPr>
        <w:t xml:space="preserve"> con la cédula número ____ de _____, </w:t>
      </w:r>
      <w:r w:rsidDel="00000000" w:rsidR="00000000" w:rsidRPr="00000000">
        <w:rPr>
          <w:rFonts w:ascii="Book Antiqua" w:cs="Book Antiqua" w:eastAsia="Book Antiqua" w:hAnsi="Book Antiqua"/>
          <w:sz w:val="24"/>
          <w:szCs w:val="24"/>
          <w:rtl w:val="0"/>
        </w:rPr>
        <w:t xml:space="preserve">radico</w:t>
      </w:r>
      <w:r w:rsidDel="00000000" w:rsidR="00000000" w:rsidRPr="00000000">
        <w:rPr>
          <w:rFonts w:ascii="Book Antiqua" w:cs="Book Antiqua" w:eastAsia="Book Antiqua" w:hAnsi="Book Antiqua"/>
          <w:sz w:val="24"/>
          <w:szCs w:val="24"/>
          <w:rtl w:val="0"/>
        </w:rPr>
        <w:t xml:space="preserve"> ante esta </w:t>
      </w:r>
      <w:r w:rsidDel="00000000" w:rsidR="00000000" w:rsidRPr="00000000">
        <w:rPr>
          <w:rFonts w:ascii="Book Antiqua" w:cs="Book Antiqua" w:eastAsia="Book Antiqua" w:hAnsi="Book Antiqua"/>
          <w:sz w:val="24"/>
          <w:szCs w:val="24"/>
          <w:rtl w:val="0"/>
        </w:rPr>
        <w:t xml:space="preserve">oficina de control interno </w:t>
      </w:r>
      <w:r w:rsidDel="00000000" w:rsidR="00000000" w:rsidRPr="00000000">
        <w:rPr>
          <w:rFonts w:ascii="Book Antiqua" w:cs="Book Antiqua" w:eastAsia="Book Antiqua" w:hAnsi="Book Antiqua"/>
          <w:sz w:val="24"/>
          <w:szCs w:val="24"/>
          <w:rtl w:val="0"/>
        </w:rPr>
        <w:t xml:space="preserve">a título de objeción de conciencia, las razones por las cuáles decidí no ejecutar la orden del/de mi  _______, en la que se me pedía que realizara _________, bajo los siguientes fundamentos.</w:t>
      </w:r>
    </w:p>
    <w:p w:rsidR="00000000" w:rsidDel="00000000" w:rsidP="00000000" w:rsidRDefault="00000000" w:rsidRPr="00000000" w14:paraId="0000000F">
      <w:pPr>
        <w:pageBreakBefore w:val="0"/>
        <w:ind w:left="0" w:firstLine="0"/>
        <w:jc w:val="both"/>
        <w:rPr>
          <w:rFonts w:ascii="Book Antiqua" w:cs="Book Antiqua" w:eastAsia="Book Antiqua" w:hAnsi="Book Antiqua"/>
          <w:b w:val="1"/>
          <w:sz w:val="24"/>
          <w:szCs w:val="24"/>
        </w:rPr>
      </w:pPr>
      <w:r w:rsidDel="00000000" w:rsidR="00000000" w:rsidRPr="00000000">
        <w:rPr>
          <w:rtl w:val="0"/>
        </w:rPr>
      </w:r>
    </w:p>
    <w:p w:rsidR="00000000" w:rsidDel="00000000" w:rsidP="00000000" w:rsidRDefault="00000000" w:rsidRPr="00000000" w14:paraId="00000010">
      <w:pPr>
        <w:pageBreakBefore w:val="0"/>
        <w:numPr>
          <w:ilvl w:val="0"/>
          <w:numId w:val="1"/>
        </w:numPr>
        <w:ind w:left="720" w:hanging="360"/>
        <w:jc w:val="both"/>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fundamentos de </w:t>
      </w:r>
      <w:r w:rsidDel="00000000" w:rsidR="00000000" w:rsidRPr="00000000">
        <w:rPr>
          <w:rFonts w:ascii="Book Antiqua" w:cs="Book Antiqua" w:eastAsia="Book Antiqua" w:hAnsi="Book Antiqua"/>
          <w:b w:val="1"/>
          <w:sz w:val="24"/>
          <w:szCs w:val="24"/>
          <w:rtl w:val="0"/>
        </w:rPr>
        <w:t xml:space="preserve">hecho </w:t>
      </w:r>
      <w:r w:rsidDel="00000000" w:rsidR="00000000" w:rsidRPr="00000000">
        <w:rPr>
          <w:rtl w:val="0"/>
        </w:rPr>
      </w:r>
    </w:p>
    <w:p w:rsidR="00000000" w:rsidDel="00000000" w:rsidP="00000000" w:rsidRDefault="00000000" w:rsidRPr="00000000" w14:paraId="00000011">
      <w:pPr>
        <w:pageBreakBefore w:val="0"/>
        <w:ind w:left="0" w:firstLine="0"/>
        <w:jc w:val="both"/>
        <w:rPr>
          <w:rFonts w:ascii="Book Antiqua" w:cs="Book Antiqua" w:eastAsia="Book Antiqua" w:hAnsi="Book Antiqua"/>
          <w:b w:val="1"/>
          <w:sz w:val="24"/>
          <w:szCs w:val="24"/>
        </w:rPr>
      </w:pPr>
      <w:r w:rsidDel="00000000" w:rsidR="00000000" w:rsidRPr="00000000">
        <w:rPr>
          <w:rtl w:val="0"/>
        </w:rPr>
      </w:r>
    </w:p>
    <w:p w:rsidR="00000000" w:rsidDel="00000000" w:rsidP="00000000" w:rsidRDefault="00000000" w:rsidRPr="00000000" w14:paraId="00000012">
      <w:pPr>
        <w:pageBreakBefore w:val="0"/>
        <w:numPr>
          <w:ilvl w:val="0"/>
          <w:numId w:val="6"/>
        </w:numPr>
        <w:ind w:left="720" w:hanging="360"/>
        <w:jc w:val="both"/>
        <w:rPr>
          <w:rFonts w:ascii="Book Antiqua" w:cs="Book Antiqua" w:eastAsia="Book Antiqua" w:hAnsi="Book Antiqua"/>
          <w:b w:val="1"/>
          <w:sz w:val="24"/>
          <w:szCs w:val="24"/>
          <w:u w:val="none"/>
        </w:rPr>
      </w:pPr>
      <w:r w:rsidDel="00000000" w:rsidR="00000000" w:rsidRPr="00000000">
        <w:rPr>
          <w:rtl w:val="0"/>
        </w:rPr>
      </w:r>
    </w:p>
    <w:p w:rsidR="00000000" w:rsidDel="00000000" w:rsidP="00000000" w:rsidRDefault="00000000" w:rsidRPr="00000000" w14:paraId="00000013">
      <w:pPr>
        <w:pageBreakBefore w:val="0"/>
        <w:ind w:left="0" w:firstLine="0"/>
        <w:jc w:val="both"/>
        <w:rPr>
          <w:rFonts w:ascii="Book Antiqua" w:cs="Book Antiqua" w:eastAsia="Book Antiqua" w:hAnsi="Book Antiqua"/>
          <w:b w:val="1"/>
          <w:sz w:val="24"/>
          <w:szCs w:val="24"/>
        </w:rPr>
      </w:pPr>
      <w:r w:rsidDel="00000000" w:rsidR="00000000" w:rsidRPr="00000000">
        <w:rPr>
          <w:rtl w:val="0"/>
        </w:rPr>
      </w:r>
    </w:p>
    <w:p w:rsidR="00000000" w:rsidDel="00000000" w:rsidP="00000000" w:rsidRDefault="00000000" w:rsidRPr="00000000" w14:paraId="00000014">
      <w:pPr>
        <w:pageBreakBefore w:val="0"/>
        <w:numPr>
          <w:ilvl w:val="0"/>
          <w:numId w:val="1"/>
        </w:numPr>
        <w:ind w:left="720" w:hanging="360"/>
        <w:jc w:val="both"/>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fundamentos de derecho</w:t>
      </w:r>
    </w:p>
    <w:p w:rsidR="00000000" w:rsidDel="00000000" w:rsidP="00000000" w:rsidRDefault="00000000" w:rsidRPr="00000000" w14:paraId="00000015">
      <w:pPr>
        <w:pageBreakBefore w:val="0"/>
        <w:jc w:val="both"/>
        <w:rPr>
          <w:rFonts w:ascii="Book Antiqua" w:cs="Book Antiqua" w:eastAsia="Book Antiqua" w:hAnsi="Book Antiqua"/>
          <w:b w:val="1"/>
          <w:sz w:val="24"/>
          <w:szCs w:val="24"/>
        </w:rPr>
      </w:pPr>
      <w:r w:rsidDel="00000000" w:rsidR="00000000" w:rsidRPr="00000000">
        <w:rPr>
          <w:rtl w:val="0"/>
        </w:rPr>
      </w:r>
    </w:p>
    <w:p w:rsidR="00000000" w:rsidDel="00000000" w:rsidP="00000000" w:rsidRDefault="00000000" w:rsidRPr="00000000" w14:paraId="00000016">
      <w:pPr>
        <w:pageBreakBefore w:val="0"/>
        <w:numPr>
          <w:ilvl w:val="0"/>
          <w:numId w:val="2"/>
        </w:numPr>
        <w:ind w:left="720" w:hanging="360"/>
        <w:jc w:val="both"/>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Normas constitucionales y del bloque: libertad de conciencia. </w:t>
      </w:r>
    </w:p>
    <w:p w:rsidR="00000000" w:rsidDel="00000000" w:rsidP="00000000" w:rsidRDefault="00000000" w:rsidRPr="00000000" w14:paraId="00000017">
      <w:pPr>
        <w:pageBreakBefore w:val="0"/>
        <w:jc w:val="both"/>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18">
      <w:pPr>
        <w:pageBreakBefore w:val="0"/>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La libertad de conciencia se encuentra ampliamente desarrollada en la constitución política de Colombia y en las normas internacionales incluídas en el bloque de constitucionalidad, las cuales son de obligatorio cumplimiento debido a la integración de estas normas por diversas formas a la carta política. </w:t>
        <w:tab/>
        <w:t xml:space="preserve">De esta forma, el artículo 18 de la Constitución Política señala que “se garantiza la libertad de conciencia. Nadie será molestado por razón de sus convicciones o creencias ni compelido a revelarlas ni obligado a actuar contra su conciencia.”</w:t>
      </w:r>
    </w:p>
    <w:p w:rsidR="00000000" w:rsidDel="00000000" w:rsidP="00000000" w:rsidRDefault="00000000" w:rsidRPr="00000000" w14:paraId="00000019">
      <w:pPr>
        <w:pageBreakBefore w:val="0"/>
        <w:jc w:val="both"/>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1A">
      <w:pPr>
        <w:pageBreakBefore w:val="0"/>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En concordancia, la Declaración Universal de los Derechos Humanos en su artículo 18, norma perteneciente al bloque de constitucionalidad, afirma:</w:t>
      </w:r>
    </w:p>
    <w:p w:rsidR="00000000" w:rsidDel="00000000" w:rsidP="00000000" w:rsidRDefault="00000000" w:rsidRPr="00000000" w14:paraId="0000001B">
      <w:pPr>
        <w:pageBreakBefore w:val="0"/>
        <w:jc w:val="both"/>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1C">
      <w:pPr>
        <w:pageBreakBefore w:val="0"/>
        <w:spacing w:after="160" w:line="259" w:lineRule="auto"/>
        <w:ind w:left="720" w:firstLine="0"/>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“T</w:t>
      </w:r>
      <w:r w:rsidDel="00000000" w:rsidR="00000000" w:rsidRPr="00000000">
        <w:rPr>
          <w:rFonts w:ascii="Book Antiqua" w:cs="Book Antiqua" w:eastAsia="Book Antiqua" w:hAnsi="Book Antiqua"/>
          <w:sz w:val="24"/>
          <w:szCs w:val="24"/>
          <w:rtl w:val="0"/>
        </w:rPr>
        <w:t xml:space="preserve">oda</w:t>
      </w:r>
      <w:r w:rsidDel="00000000" w:rsidR="00000000" w:rsidRPr="00000000">
        <w:rPr>
          <w:rFonts w:ascii="Book Antiqua" w:cs="Book Antiqua" w:eastAsia="Book Antiqua" w:hAnsi="Book Antiqua"/>
          <w:sz w:val="24"/>
          <w:szCs w:val="24"/>
          <w:rtl w:val="0"/>
        </w:rPr>
        <w:t xml:space="preserve"> persona tiene derecho a la libertad de pensamiento, de conciencia y de religión; este derecho incluye la libertad de cambiar de religión o su creencia, individual y colectivamente, tanto en público como en privado, por la enseñanza, la práctica, el culto y la observancia.”</w:t>
      </w:r>
    </w:p>
    <w:p w:rsidR="00000000" w:rsidDel="00000000" w:rsidP="00000000" w:rsidRDefault="00000000" w:rsidRPr="00000000" w14:paraId="0000001D">
      <w:pPr>
        <w:pageBreakBefore w:val="0"/>
        <w:spacing w:after="160" w:line="259" w:lineRule="auto"/>
        <w:ind w:left="0" w:firstLine="0"/>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Por su parte, el </w:t>
      </w:r>
      <w:r w:rsidDel="00000000" w:rsidR="00000000" w:rsidRPr="00000000">
        <w:rPr>
          <w:rFonts w:ascii="Book Antiqua" w:cs="Book Antiqua" w:eastAsia="Book Antiqua" w:hAnsi="Book Antiqua"/>
          <w:sz w:val="24"/>
          <w:szCs w:val="24"/>
          <w:rtl w:val="0"/>
        </w:rPr>
        <w:t xml:space="preserve">Pacto Internacional de Derechos Civiles y Políticos en el artículo 18, norma perteneciente al bloque de constitucionalidad, asevera:  </w:t>
      </w:r>
    </w:p>
    <w:p w:rsidR="00000000" w:rsidDel="00000000" w:rsidP="00000000" w:rsidRDefault="00000000" w:rsidRPr="00000000" w14:paraId="0000001E">
      <w:pPr>
        <w:pageBreakBefore w:val="0"/>
        <w:spacing w:after="160" w:line="259" w:lineRule="auto"/>
        <w:ind w:left="720" w:firstLine="0"/>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“Toda persona tiene derecho a la libertad de pensamiento, de conciencia y de religión; este derecho incluye la libertad de tener o de adoptar la religión o las creencias de su elección, así como la libertad de manifestar su religión o sus creencias, individual o colectivamente, tanto en público como en privado, mediante el culto, la celebración de los ritos, las prácticas y la enseñanza.”</w:t>
      </w:r>
    </w:p>
    <w:p w:rsidR="00000000" w:rsidDel="00000000" w:rsidP="00000000" w:rsidRDefault="00000000" w:rsidRPr="00000000" w14:paraId="0000001F">
      <w:pPr>
        <w:pageBreakBefore w:val="0"/>
        <w:spacing w:after="160" w:line="259" w:lineRule="auto"/>
        <w:ind w:left="0" w:firstLine="0"/>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Por último, la Convención Americana de Derechos Humanos en su artículo 12, norma perteneciente al bloque de constitucionalidad, señala que: </w:t>
      </w:r>
    </w:p>
    <w:p w:rsidR="00000000" w:rsidDel="00000000" w:rsidP="00000000" w:rsidRDefault="00000000" w:rsidRPr="00000000" w14:paraId="00000020">
      <w:pPr>
        <w:pageBreakBefore w:val="0"/>
        <w:spacing w:after="160" w:line="259" w:lineRule="auto"/>
        <w:ind w:left="720" w:firstLine="0"/>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“Toda persona tiene derecho a la libertad de conciencia y de religión. Este derecho implica la libertad de conservar su religión o sus creencias, o de cambiar de religión o de creencias, así como la libertad de profesar y divulgar su religión o sus creencias, individual o colectivamente, tanto en público como en privado”.</w:t>
      </w:r>
    </w:p>
    <w:p w:rsidR="00000000" w:rsidDel="00000000" w:rsidP="00000000" w:rsidRDefault="00000000" w:rsidRPr="00000000" w14:paraId="00000021">
      <w:pPr>
        <w:pageBreakBefore w:val="0"/>
        <w:spacing w:after="160" w:line="259" w:lineRule="auto"/>
        <w:ind w:left="0" w:firstLine="0"/>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En razón a estos mandatos de carácter constitucional, la Corte Constitucional ha desarrollado extensa jurisprudencia acerca de cómo opera la libertad de conciencia, ejemplifica algunas situaciones en que se puede presentar y los derechos que de esta descienden.</w:t>
      </w:r>
    </w:p>
    <w:p w:rsidR="00000000" w:rsidDel="00000000" w:rsidP="00000000" w:rsidRDefault="00000000" w:rsidRPr="00000000" w14:paraId="00000022">
      <w:pPr>
        <w:pageBreakBefore w:val="0"/>
        <w:spacing w:after="160" w:line="259" w:lineRule="auto"/>
        <w:ind w:left="0" w:firstLine="0"/>
        <w:jc w:val="both"/>
        <w:rPr>
          <w:rFonts w:ascii="Book Antiqua" w:cs="Book Antiqua" w:eastAsia="Book Antiqua" w:hAnsi="Book Antiqua"/>
          <w:b w:val="1"/>
          <w:sz w:val="24"/>
          <w:szCs w:val="24"/>
        </w:rPr>
      </w:pPr>
      <w:r w:rsidDel="00000000" w:rsidR="00000000" w:rsidRPr="00000000">
        <w:rPr>
          <w:rFonts w:ascii="Book Antiqua" w:cs="Book Antiqua" w:eastAsia="Book Antiqua" w:hAnsi="Book Antiqua"/>
          <w:sz w:val="24"/>
          <w:szCs w:val="24"/>
          <w:rtl w:val="0"/>
        </w:rPr>
        <w:t xml:space="preserve">De acuerdo a la sentencia de unificación 018 de 2016, del derecho a la libertad de conciencia nacen tres prerrogativas: </w:t>
      </w:r>
      <w:r w:rsidDel="00000000" w:rsidR="00000000" w:rsidRPr="00000000">
        <w:rPr>
          <w:rFonts w:ascii="Book Antiqua" w:cs="Book Antiqua" w:eastAsia="Book Antiqua" w:hAnsi="Book Antiqua"/>
          <w:b w:val="1"/>
          <w:sz w:val="24"/>
          <w:szCs w:val="24"/>
          <w:rtl w:val="0"/>
        </w:rPr>
        <w:t xml:space="preserve">(i) nadie podrá ser objeto ni de acoso ni de persecución en razón de sus convicciones o creencias; (ii) ninguna persona estará obligada a revelar sus convicciones y (iii) nadie será obligado a actuar contra su conciencia</w:t>
      </w:r>
      <w:r w:rsidDel="00000000" w:rsidR="00000000" w:rsidRPr="00000000">
        <w:rPr>
          <w:rFonts w:ascii="Book Antiqua" w:cs="Book Antiqua" w:eastAsia="Book Antiqua" w:hAnsi="Book Antiqua"/>
          <w:b w:val="1"/>
          <w:sz w:val="24"/>
          <w:szCs w:val="24"/>
          <w:vertAlign w:val="superscript"/>
        </w:rPr>
        <w:footnoteReference w:customMarkFollows="0" w:id="0"/>
      </w:r>
      <w:r w:rsidDel="00000000" w:rsidR="00000000" w:rsidRPr="00000000">
        <w:rPr>
          <w:rFonts w:ascii="Book Antiqua" w:cs="Book Antiqua" w:eastAsia="Book Antiqua" w:hAnsi="Book Antiqua"/>
          <w:b w:val="1"/>
          <w:sz w:val="24"/>
          <w:szCs w:val="24"/>
          <w:rtl w:val="0"/>
        </w:rPr>
        <w:t xml:space="preserve">.</w:t>
      </w:r>
    </w:p>
    <w:p w:rsidR="00000000" w:rsidDel="00000000" w:rsidP="00000000" w:rsidRDefault="00000000" w:rsidRPr="00000000" w14:paraId="00000023">
      <w:pPr>
        <w:pageBreakBefore w:val="0"/>
        <w:spacing w:after="160" w:line="259" w:lineRule="auto"/>
        <w:ind w:left="0" w:firstLine="0"/>
        <w:jc w:val="both"/>
        <w:rPr>
          <w:rFonts w:ascii="Book Antiqua" w:cs="Book Antiqua" w:eastAsia="Book Antiqua" w:hAnsi="Book Antiqua"/>
          <w:sz w:val="24"/>
          <w:szCs w:val="24"/>
          <w:highlight w:val="white"/>
        </w:rPr>
      </w:pPr>
      <w:r w:rsidDel="00000000" w:rsidR="00000000" w:rsidRPr="00000000">
        <w:rPr>
          <w:rFonts w:ascii="Book Antiqua" w:cs="Book Antiqua" w:eastAsia="Book Antiqua" w:hAnsi="Book Antiqua"/>
          <w:sz w:val="24"/>
          <w:szCs w:val="24"/>
          <w:rtl w:val="0"/>
        </w:rPr>
        <w:t xml:space="preserve">Respecto a la objeción de conciencia como derecho, la Corte señala que este </w:t>
      </w:r>
      <w:r w:rsidDel="00000000" w:rsidR="00000000" w:rsidRPr="00000000">
        <w:rPr>
          <w:rFonts w:ascii="Book Antiqua" w:cs="Book Antiqua" w:eastAsia="Book Antiqua" w:hAnsi="Book Antiqua"/>
          <w:sz w:val="24"/>
          <w:szCs w:val="24"/>
          <w:rtl w:val="0"/>
        </w:rPr>
        <w:t xml:space="preserve">es un derecho autónomo y nominado</w:t>
      </w:r>
      <w:r w:rsidDel="00000000" w:rsidR="00000000" w:rsidRPr="00000000">
        <w:rPr>
          <w:rFonts w:ascii="Book Antiqua" w:cs="Book Antiqua" w:eastAsia="Book Antiqua" w:hAnsi="Book Antiqua"/>
          <w:sz w:val="24"/>
          <w:szCs w:val="24"/>
          <w:rtl w:val="0"/>
        </w:rPr>
        <w:t xml:space="preserve"> de conformidad con el apartado final del artículo 18 de la Constitución que reza que las personas tienen derecho a no ser obligadas a actuar contra su conciencia, postura que desarrolla el principio pro homine que ordena preferir la interpretación más favorable a los derechos humanos. Esta interpretación dada, es la que mejor se adapta al principio </w:t>
      </w:r>
      <w:r w:rsidDel="00000000" w:rsidR="00000000" w:rsidRPr="00000000">
        <w:rPr>
          <w:rFonts w:ascii="Book Antiqua" w:cs="Book Antiqua" w:eastAsia="Book Antiqua" w:hAnsi="Book Antiqua"/>
          <w:sz w:val="24"/>
          <w:szCs w:val="24"/>
          <w:highlight w:val="white"/>
          <w:rtl w:val="0"/>
        </w:rPr>
        <w:t xml:space="preserve">de efectividad de los derechos constitucionales, consagrado en el artículo 2° de la Carta, por cuanto protege esta posición jurídica en sí misma, sin necesidad de apelar a otros derechos que podrían debilitar su salvaguarda. Asimismo, la interpretación adoptada por la Corte es razonable, toda vez que recurre a una lectura literal y sistemática del artículo 18 de la Constitución en conjunto con el artículo 20 y garantiza el efecto útil de cada uno de los apartes del artículo 18, en el entendido de que cada uno de ellos tiene una aplicación práctica y autónoma</w:t>
      </w:r>
      <w:r w:rsidDel="00000000" w:rsidR="00000000" w:rsidRPr="00000000">
        <w:rPr>
          <w:rFonts w:ascii="Book Antiqua" w:cs="Book Antiqua" w:eastAsia="Book Antiqua" w:hAnsi="Book Antiqua"/>
          <w:sz w:val="24"/>
          <w:szCs w:val="24"/>
          <w:highlight w:val="white"/>
          <w:vertAlign w:val="superscript"/>
        </w:rPr>
        <w:footnoteReference w:customMarkFollows="0" w:id="1"/>
      </w:r>
      <w:r w:rsidDel="00000000" w:rsidR="00000000" w:rsidRPr="00000000">
        <w:rPr>
          <w:rFonts w:ascii="Book Antiqua" w:cs="Book Antiqua" w:eastAsia="Book Antiqua" w:hAnsi="Book Antiqua"/>
          <w:sz w:val="24"/>
          <w:szCs w:val="24"/>
          <w:highlight w:val="white"/>
          <w:rtl w:val="0"/>
        </w:rPr>
        <w:t xml:space="preserve">.</w:t>
      </w:r>
    </w:p>
    <w:p w:rsidR="00000000" w:rsidDel="00000000" w:rsidP="00000000" w:rsidRDefault="00000000" w:rsidRPr="00000000" w14:paraId="00000024">
      <w:pPr>
        <w:pageBreakBefore w:val="0"/>
        <w:spacing w:after="160" w:line="259" w:lineRule="auto"/>
        <w:ind w:left="0" w:firstLine="0"/>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highlight w:val="white"/>
          <w:rtl w:val="0"/>
        </w:rPr>
        <w:t xml:space="preserve">De la libertad de conciencia entonces, se</w:t>
      </w:r>
      <w:r w:rsidDel="00000000" w:rsidR="00000000" w:rsidRPr="00000000">
        <w:rPr>
          <w:rFonts w:ascii="Book Antiqua" w:cs="Book Antiqua" w:eastAsia="Book Antiqua" w:hAnsi="Book Antiqua"/>
          <w:sz w:val="24"/>
          <w:szCs w:val="24"/>
          <w:rtl w:val="0"/>
        </w:rPr>
        <w:t xml:space="preserve"> inscribe el derecho a la objeción de conciencia como una legítima expresión de la libertad humana de dirigir en forma autónoma su propia racionalidad, sin otro límite que la eficacia de los derechos de terceros y el bien común. Es una garantía que reconoce y reafirma que el ser humano, en tanto ser de elecciones, está ontológicamente facultado para aceptar o rehusar, pero que recuerda, así mismo, que “la Constitución impone deberes en consideración a intereses generales de la comunidad y que responden al criterio conforme al cual todas las personas están obligadas a contribuir al mantenimiento de las condiciones que permiten la armónica convivencia”</w:t>
      </w:r>
      <w:r w:rsidDel="00000000" w:rsidR="00000000" w:rsidRPr="00000000">
        <w:rPr>
          <w:rFonts w:ascii="Book Antiqua" w:cs="Book Antiqua" w:eastAsia="Book Antiqua" w:hAnsi="Book Antiqua"/>
          <w:sz w:val="24"/>
          <w:szCs w:val="24"/>
          <w:vertAlign w:val="superscript"/>
        </w:rPr>
        <w:footnoteReference w:customMarkFollows="0" w:id="2"/>
      </w:r>
      <w:r w:rsidDel="00000000" w:rsidR="00000000" w:rsidRPr="00000000">
        <w:rPr>
          <w:rFonts w:ascii="Book Antiqua" w:cs="Book Antiqua" w:eastAsia="Book Antiqua" w:hAnsi="Book Antiqua"/>
          <w:sz w:val="24"/>
          <w:szCs w:val="24"/>
          <w:rtl w:val="0"/>
        </w:rPr>
        <w:t xml:space="preserve">.</w:t>
      </w:r>
    </w:p>
    <w:p w:rsidR="00000000" w:rsidDel="00000000" w:rsidP="00000000" w:rsidRDefault="00000000" w:rsidRPr="00000000" w14:paraId="00000025">
      <w:pPr>
        <w:pageBreakBefore w:val="0"/>
        <w:spacing w:after="160" w:line="259" w:lineRule="auto"/>
        <w:ind w:left="0" w:firstLine="0"/>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El sustento conceptual de la objeción de conciencia, cuyo propósito inicial es preservar las propias convicciones sean ellas de orden ideológico, filosófico, religioso o moral, se encuentra en la concepción de los derechos fundamentales como ámbitos de la autonomía individual y a su vez, como límites infranqueables para el legislador y la administración, en un estado democrático y pluralista</w:t>
      </w:r>
      <w:r w:rsidDel="00000000" w:rsidR="00000000" w:rsidRPr="00000000">
        <w:rPr>
          <w:rFonts w:ascii="Book Antiqua" w:cs="Book Antiqua" w:eastAsia="Book Antiqua" w:hAnsi="Book Antiqua"/>
          <w:sz w:val="24"/>
          <w:szCs w:val="24"/>
          <w:vertAlign w:val="superscript"/>
        </w:rPr>
        <w:footnoteReference w:customMarkFollows="0" w:id="3"/>
      </w:r>
      <w:r w:rsidDel="00000000" w:rsidR="00000000" w:rsidRPr="00000000">
        <w:rPr>
          <w:rFonts w:ascii="Book Antiqua" w:cs="Book Antiqua" w:eastAsia="Book Antiqua" w:hAnsi="Book Antiqua"/>
          <w:sz w:val="24"/>
          <w:szCs w:val="24"/>
          <w:rtl w:val="0"/>
        </w:rPr>
        <w:t xml:space="preserve">.</w:t>
      </w:r>
    </w:p>
    <w:p w:rsidR="00000000" w:rsidDel="00000000" w:rsidP="00000000" w:rsidRDefault="00000000" w:rsidRPr="00000000" w14:paraId="00000026">
      <w:pPr>
        <w:pageBreakBefore w:val="0"/>
        <w:spacing w:after="160" w:line="259" w:lineRule="auto"/>
        <w:ind w:left="0" w:firstLine="0"/>
        <w:jc w:val="both"/>
        <w:rPr>
          <w:rFonts w:ascii="Book Antiqua" w:cs="Book Antiqua" w:eastAsia="Book Antiqua" w:hAnsi="Book Antiqua"/>
          <w:sz w:val="24"/>
          <w:szCs w:val="24"/>
          <w:highlight w:val="white"/>
        </w:rPr>
      </w:pPr>
      <w:r w:rsidDel="00000000" w:rsidR="00000000" w:rsidRPr="00000000">
        <w:rPr>
          <w:rFonts w:ascii="Book Antiqua" w:cs="Book Antiqua" w:eastAsia="Book Antiqua" w:hAnsi="Book Antiqua"/>
          <w:sz w:val="24"/>
          <w:szCs w:val="24"/>
          <w:highlight w:val="white"/>
          <w:rtl w:val="0"/>
        </w:rPr>
        <w:t xml:space="preserve">De acuerdo a la sentencia C-714 de 2009, </w:t>
      </w:r>
    </w:p>
    <w:p w:rsidR="00000000" w:rsidDel="00000000" w:rsidP="00000000" w:rsidRDefault="00000000" w:rsidRPr="00000000" w14:paraId="00000027">
      <w:pPr>
        <w:pageBreakBefore w:val="0"/>
        <w:spacing w:after="160" w:line="259" w:lineRule="auto"/>
        <w:ind w:left="720" w:firstLine="0"/>
        <w:jc w:val="both"/>
        <w:rPr>
          <w:rFonts w:ascii="Book Antiqua" w:cs="Book Antiqua" w:eastAsia="Book Antiqua" w:hAnsi="Book Antiqua"/>
          <w:sz w:val="24"/>
          <w:szCs w:val="24"/>
          <w:highlight w:val="white"/>
        </w:rPr>
      </w:pPr>
      <w:r w:rsidDel="00000000" w:rsidR="00000000" w:rsidRPr="00000000">
        <w:rPr>
          <w:rFonts w:ascii="Book Antiqua" w:cs="Book Antiqua" w:eastAsia="Book Antiqua" w:hAnsi="Book Antiqua"/>
          <w:sz w:val="24"/>
          <w:szCs w:val="24"/>
          <w:highlight w:val="white"/>
          <w:rtl w:val="0"/>
        </w:rPr>
        <w:t xml:space="preserve">“… a partir de una lectura armónica de los artículos, 18 (libertad de conciencia) y 19 (libertad de religión y cultos) de la Constitución, a la luz del bloque de constitucionalidad, es posible concluir que de los mismos sí se desprende la garantía de la objeción de conciencia frente al servicio militar. Lo anterior encuentra sustento en el hecho de que, en general, la libertad de conciencia, como se indicó, explícitamente garantiza a toda persona el derecho constitucional a ‘no ser obligado actuar en contra de su conciencia”.</w:t>
      </w:r>
      <w:r w:rsidDel="00000000" w:rsidR="00000000" w:rsidRPr="00000000">
        <w:rPr>
          <w:rFonts w:ascii="Book Antiqua" w:cs="Book Antiqua" w:eastAsia="Book Antiqua" w:hAnsi="Book Antiqua"/>
          <w:sz w:val="24"/>
          <w:szCs w:val="24"/>
          <w:highlight w:val="white"/>
          <w:vertAlign w:val="superscript"/>
        </w:rPr>
        <w:footnoteReference w:customMarkFollows="0" w:id="4"/>
      </w:r>
      <w:r w:rsidDel="00000000" w:rsidR="00000000" w:rsidRPr="00000000">
        <w:rPr>
          <w:rtl w:val="0"/>
        </w:rPr>
      </w:r>
    </w:p>
    <w:p w:rsidR="00000000" w:rsidDel="00000000" w:rsidP="00000000" w:rsidRDefault="00000000" w:rsidRPr="00000000" w14:paraId="00000028">
      <w:pPr>
        <w:pageBreakBefore w:val="0"/>
        <w:spacing w:after="160" w:line="259" w:lineRule="auto"/>
        <w:jc w:val="both"/>
        <w:rPr>
          <w:rFonts w:ascii="Book Antiqua" w:cs="Book Antiqua" w:eastAsia="Book Antiqua" w:hAnsi="Book Antiqua"/>
          <w:sz w:val="24"/>
          <w:szCs w:val="24"/>
          <w:highlight w:val="white"/>
        </w:rPr>
      </w:pPr>
      <w:r w:rsidDel="00000000" w:rsidR="00000000" w:rsidRPr="00000000">
        <w:rPr>
          <w:rFonts w:ascii="Book Antiqua" w:cs="Book Antiqua" w:eastAsia="Book Antiqua" w:hAnsi="Book Antiqua"/>
          <w:sz w:val="24"/>
          <w:szCs w:val="24"/>
          <w:highlight w:val="white"/>
          <w:rtl w:val="0"/>
        </w:rPr>
        <w:t xml:space="preserve">De este modo, quien de manera seria presente una objeción de conciencia, vería irrespetado su derecho si, pese a ello, se le impusiese un deber que tiene un altísimo grado de afectación sobre la persona en cuanto que, precisamente, su cumplimiento implicaría actuar en contra de su conciencia. Como se ha dicho, si bien la garantía constitucional a partir de la cual es posible plantear objeciones de conciencia al cumplimiento de distintos deberes jurídicos, requiere un desarrollo legislativo, la ausencia del mismo no comporta la ineficacia del derecho, el cual, en su núcleo esencial, puede hacerse valer directamente con base en la Constitución. De este modo, la posibilidad de presentar una objeción de conciencia está supeditada a la valoración que, en cada caso concreto se realice en torno a, por una parte, los elementos que configuran la reserva de conciencia, frente a, por otro, la naturaleza del deber que da lugar al reparo. Si a la luz de ese análisis se concluye que hay lugar a la objeción de conciencia, la falta de previsión legislativa sobre el particular, no puede tenerse como un obstáculo para la efectividad del derecho, el cual podría ejercerse con base directamente en la Constitución</w:t>
      </w:r>
      <w:r w:rsidDel="00000000" w:rsidR="00000000" w:rsidRPr="00000000">
        <w:rPr>
          <w:rFonts w:ascii="Book Antiqua" w:cs="Book Antiqua" w:eastAsia="Book Antiqua" w:hAnsi="Book Antiqua"/>
          <w:sz w:val="24"/>
          <w:szCs w:val="24"/>
          <w:highlight w:val="white"/>
          <w:vertAlign w:val="superscript"/>
        </w:rPr>
        <w:footnoteReference w:customMarkFollows="0" w:id="5"/>
      </w:r>
      <w:r w:rsidDel="00000000" w:rsidR="00000000" w:rsidRPr="00000000">
        <w:rPr>
          <w:rFonts w:ascii="Book Antiqua" w:cs="Book Antiqua" w:eastAsia="Book Antiqua" w:hAnsi="Book Antiqua"/>
          <w:sz w:val="24"/>
          <w:szCs w:val="24"/>
          <w:highlight w:val="white"/>
          <w:rtl w:val="0"/>
        </w:rPr>
        <w:t xml:space="preserve">.</w:t>
      </w:r>
    </w:p>
    <w:p w:rsidR="00000000" w:rsidDel="00000000" w:rsidP="00000000" w:rsidRDefault="00000000" w:rsidRPr="00000000" w14:paraId="00000029">
      <w:pPr>
        <w:pageBreakBefore w:val="0"/>
        <w:numPr>
          <w:ilvl w:val="0"/>
          <w:numId w:val="2"/>
        </w:numPr>
        <w:spacing w:after="160" w:line="259" w:lineRule="auto"/>
        <w:ind w:left="720" w:hanging="360"/>
        <w:jc w:val="both"/>
        <w:rPr>
          <w:rFonts w:ascii="Book Antiqua" w:cs="Book Antiqua" w:eastAsia="Book Antiqua" w:hAnsi="Book Antiqua"/>
          <w:sz w:val="24"/>
          <w:szCs w:val="24"/>
        </w:rPr>
      </w:pPr>
      <w:r w:rsidDel="00000000" w:rsidR="00000000" w:rsidRPr="00000000">
        <w:rPr>
          <w:rFonts w:ascii="Book Antiqua" w:cs="Book Antiqua" w:eastAsia="Book Antiqua" w:hAnsi="Book Antiqua"/>
          <w:b w:val="1"/>
          <w:sz w:val="24"/>
          <w:szCs w:val="24"/>
          <w:rtl w:val="0"/>
        </w:rPr>
        <w:t xml:space="preserve">Aplicación del principio pro homine o pro persona. </w:t>
      </w:r>
    </w:p>
    <w:p w:rsidR="00000000" w:rsidDel="00000000" w:rsidP="00000000" w:rsidRDefault="00000000" w:rsidRPr="00000000" w14:paraId="0000002A">
      <w:pPr>
        <w:pageBreakBefore w:val="0"/>
        <w:spacing w:after="160" w:line="259" w:lineRule="auto"/>
        <w:ind w:left="0" w:firstLine="0"/>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El artículo 1 de la Constitución Política dispone, entre otras cosas, que el Estado colombiano está fundado en el respeto por la dignidad humana como un principio esencial de nuestra sociedad. De ello se deriva el principio pro homine o pro persona que debe ser aplicado en toda actuación del Estado. </w:t>
      </w:r>
    </w:p>
    <w:p w:rsidR="00000000" w:rsidDel="00000000" w:rsidP="00000000" w:rsidRDefault="00000000" w:rsidRPr="00000000" w14:paraId="0000002B">
      <w:pPr>
        <w:pageBreakBefore w:val="0"/>
        <w:spacing w:after="160" w:line="259" w:lineRule="auto"/>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highlight w:val="white"/>
          <w:rtl w:val="0"/>
        </w:rPr>
        <w:t xml:space="preserve">De modo general, este principio impone la obligación a los funcionarios públicos “...de preferir, cuando existan dos interpretaciones posibles de una disposición, la que más favorezca la dignidad humana</w:t>
      </w:r>
      <w:r w:rsidDel="00000000" w:rsidR="00000000" w:rsidRPr="00000000">
        <w:rPr>
          <w:rFonts w:ascii="Book Antiqua" w:cs="Book Antiqua" w:eastAsia="Book Antiqua" w:hAnsi="Book Antiqua"/>
          <w:sz w:val="24"/>
          <w:szCs w:val="24"/>
          <w:highlight w:val="white"/>
          <w:vertAlign w:val="superscript"/>
        </w:rPr>
        <w:footnoteReference w:customMarkFollows="0" w:id="6"/>
      </w:r>
      <w:r w:rsidDel="00000000" w:rsidR="00000000" w:rsidRPr="00000000">
        <w:rPr>
          <w:rFonts w:ascii="Book Antiqua" w:cs="Book Antiqua" w:eastAsia="Book Antiqua" w:hAnsi="Book Antiqua"/>
          <w:sz w:val="24"/>
          <w:szCs w:val="24"/>
          <w:highlight w:val="white"/>
          <w:rtl w:val="0"/>
        </w:rPr>
        <w:t xml:space="preserve">.”</w:t>
      </w:r>
      <w:r w:rsidDel="00000000" w:rsidR="00000000" w:rsidRPr="00000000">
        <w:rPr>
          <w:rtl w:val="0"/>
        </w:rPr>
      </w:r>
    </w:p>
    <w:p w:rsidR="00000000" w:rsidDel="00000000" w:rsidP="00000000" w:rsidRDefault="00000000" w:rsidRPr="00000000" w14:paraId="0000002C">
      <w:pPr>
        <w:pageBreakBefore w:val="0"/>
        <w:spacing w:after="160" w:line="259" w:lineRule="auto"/>
        <w:ind w:left="0" w:firstLine="0"/>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La Corte Constitucional se ha referido a este principio y su aplicación de la siguiente manera: </w:t>
      </w:r>
    </w:p>
    <w:p w:rsidR="00000000" w:rsidDel="00000000" w:rsidP="00000000" w:rsidRDefault="00000000" w:rsidRPr="00000000" w14:paraId="0000002D">
      <w:pPr>
        <w:pageBreakBefore w:val="0"/>
        <w:spacing w:after="160" w:line="259" w:lineRule="auto"/>
        <w:ind w:left="720" w:firstLine="0"/>
        <w:jc w:val="both"/>
        <w:rPr>
          <w:rFonts w:ascii="Book Antiqua" w:cs="Book Antiqua" w:eastAsia="Book Antiqua" w:hAnsi="Book Antiqua"/>
          <w:sz w:val="24"/>
          <w:szCs w:val="24"/>
          <w:highlight w:val="white"/>
        </w:rPr>
      </w:pPr>
      <w:r w:rsidDel="00000000" w:rsidR="00000000" w:rsidRPr="00000000">
        <w:rPr>
          <w:rFonts w:ascii="Book Antiqua" w:cs="Book Antiqua" w:eastAsia="Book Antiqua" w:hAnsi="Book Antiqua"/>
          <w:sz w:val="24"/>
          <w:szCs w:val="24"/>
          <w:highlight w:val="white"/>
          <w:rtl w:val="0"/>
        </w:rPr>
        <w:t xml:space="preserve">“El principio de interpretación pro homine, impone aquella interpretación de las normas jurídicas que sea más favorable al hombre y sus derechos, esto es, la prevalencia de aquella interpretación que propenda por el respeto de la dignidad humana y consecuentemente por la protección, garantía y promoción de los derechos humanos y de los derechos fundamentales consagrados a nivel constitucional. Éste es entonces un criterio de interpretación que se fundamenta en las obligaciones contenidas en los artículos 1° y 2º de la Constitución antes citados y en el artículo 93, según el cual los derechos y deberes contenidos en la Constitución se deben interpretar de conformidad con los tratados sobre derechos humanos ratificados por Colombia”</w:t>
      </w:r>
      <w:r w:rsidDel="00000000" w:rsidR="00000000" w:rsidRPr="00000000">
        <w:rPr>
          <w:rFonts w:ascii="Book Antiqua" w:cs="Book Antiqua" w:eastAsia="Book Antiqua" w:hAnsi="Book Antiqua"/>
          <w:sz w:val="24"/>
          <w:szCs w:val="24"/>
          <w:highlight w:val="white"/>
          <w:vertAlign w:val="superscript"/>
        </w:rPr>
        <w:footnoteReference w:customMarkFollows="0" w:id="7"/>
      </w:r>
      <w:r w:rsidDel="00000000" w:rsidR="00000000" w:rsidRPr="00000000">
        <w:rPr>
          <w:rFonts w:ascii="Book Antiqua" w:cs="Book Antiqua" w:eastAsia="Book Antiqua" w:hAnsi="Book Antiqua"/>
          <w:sz w:val="24"/>
          <w:szCs w:val="24"/>
          <w:highlight w:val="white"/>
          <w:rtl w:val="0"/>
        </w:rPr>
        <w:t xml:space="preserve">.</w:t>
      </w:r>
    </w:p>
    <w:p w:rsidR="00000000" w:rsidDel="00000000" w:rsidP="00000000" w:rsidRDefault="00000000" w:rsidRPr="00000000" w14:paraId="0000002E">
      <w:pPr>
        <w:pageBreakBefore w:val="0"/>
        <w:spacing w:after="160" w:line="259" w:lineRule="auto"/>
        <w:ind w:left="0" w:firstLine="0"/>
        <w:jc w:val="both"/>
        <w:rPr>
          <w:rFonts w:ascii="Book Antiqua" w:cs="Book Antiqua" w:eastAsia="Book Antiqua" w:hAnsi="Book Antiqua"/>
          <w:sz w:val="24"/>
          <w:szCs w:val="24"/>
          <w:highlight w:val="white"/>
        </w:rPr>
      </w:pPr>
      <w:r w:rsidDel="00000000" w:rsidR="00000000" w:rsidRPr="00000000">
        <w:rPr>
          <w:rFonts w:ascii="Book Antiqua" w:cs="Book Antiqua" w:eastAsia="Book Antiqua" w:hAnsi="Book Antiqua"/>
          <w:sz w:val="24"/>
          <w:szCs w:val="24"/>
          <w:highlight w:val="white"/>
          <w:rtl w:val="0"/>
        </w:rPr>
        <w:t xml:space="preserve">En este mismo sentido se ha pronunciado la Corte IDH, estableciendo que el principio pro persona es un criterio fundamental que: “...impone la naturaleza misma de los derechos humanos, la cual obliga a interpretar extensivamente las normas que los consagran o amplían y restrictivamente las que los limitan o restringen</w:t>
      </w:r>
      <w:r w:rsidDel="00000000" w:rsidR="00000000" w:rsidRPr="00000000">
        <w:rPr>
          <w:rFonts w:ascii="Book Antiqua" w:cs="Book Antiqua" w:eastAsia="Book Antiqua" w:hAnsi="Book Antiqua"/>
          <w:sz w:val="24"/>
          <w:szCs w:val="24"/>
          <w:highlight w:val="white"/>
          <w:vertAlign w:val="superscript"/>
        </w:rPr>
        <w:footnoteReference w:customMarkFollows="0" w:id="8"/>
      </w:r>
      <w:r w:rsidDel="00000000" w:rsidR="00000000" w:rsidRPr="00000000">
        <w:rPr>
          <w:rFonts w:ascii="Book Antiqua" w:cs="Book Antiqua" w:eastAsia="Book Antiqua" w:hAnsi="Book Antiqua"/>
          <w:sz w:val="24"/>
          <w:szCs w:val="24"/>
          <w:highlight w:val="white"/>
          <w:rtl w:val="0"/>
        </w:rPr>
        <w:t xml:space="preserve">”.</w:t>
      </w:r>
    </w:p>
    <w:p w:rsidR="00000000" w:rsidDel="00000000" w:rsidP="00000000" w:rsidRDefault="00000000" w:rsidRPr="00000000" w14:paraId="0000002F">
      <w:pPr>
        <w:pageBreakBefore w:val="0"/>
        <w:spacing w:after="160" w:line="259" w:lineRule="auto"/>
        <w:ind w:left="0" w:firstLine="0"/>
        <w:jc w:val="both"/>
        <w:rPr>
          <w:rFonts w:ascii="Book Antiqua" w:cs="Book Antiqua" w:eastAsia="Book Antiqua" w:hAnsi="Book Antiqua"/>
          <w:sz w:val="24"/>
          <w:szCs w:val="24"/>
          <w:highlight w:val="white"/>
        </w:rPr>
      </w:pPr>
      <w:r w:rsidDel="00000000" w:rsidR="00000000" w:rsidRPr="00000000">
        <w:rPr>
          <w:rFonts w:ascii="Book Antiqua" w:cs="Book Antiqua" w:eastAsia="Book Antiqua" w:hAnsi="Book Antiqua"/>
          <w:sz w:val="24"/>
          <w:szCs w:val="24"/>
          <w:highlight w:val="white"/>
          <w:rtl w:val="0"/>
        </w:rPr>
        <w:t xml:space="preserve">De modo que, una orden de cuyo cumplimiento se deriva la afectación de la dignidad humana y es la opción que impone mayor restricción o afectación a los derechos humanos y a los derechos fundamentales resulta inconstitucional e ilegítima al violar el principio pro homine. </w:t>
      </w:r>
    </w:p>
    <w:p w:rsidR="00000000" w:rsidDel="00000000" w:rsidP="00000000" w:rsidRDefault="00000000" w:rsidRPr="00000000" w14:paraId="00000030">
      <w:pPr>
        <w:pageBreakBefore w:val="0"/>
        <w:numPr>
          <w:ilvl w:val="0"/>
          <w:numId w:val="2"/>
        </w:numPr>
        <w:spacing w:after="160" w:line="259" w:lineRule="auto"/>
        <w:ind w:left="720" w:hanging="360"/>
        <w:jc w:val="both"/>
        <w:rPr>
          <w:rFonts w:ascii="Book Antiqua" w:cs="Book Antiqua" w:eastAsia="Book Antiqua" w:hAnsi="Book Antiqua"/>
          <w:sz w:val="24"/>
          <w:szCs w:val="24"/>
        </w:rPr>
      </w:pPr>
      <w:r w:rsidDel="00000000" w:rsidR="00000000" w:rsidRPr="00000000">
        <w:rPr>
          <w:rFonts w:ascii="Book Antiqua" w:cs="Book Antiqua" w:eastAsia="Book Antiqua" w:hAnsi="Book Antiqua"/>
          <w:b w:val="1"/>
          <w:sz w:val="24"/>
          <w:szCs w:val="24"/>
          <w:rtl w:val="0"/>
        </w:rPr>
        <w:t xml:space="preserve">Comisión de crímenes de lesa humanidad.</w:t>
      </w:r>
    </w:p>
    <w:p w:rsidR="00000000" w:rsidDel="00000000" w:rsidP="00000000" w:rsidRDefault="00000000" w:rsidRPr="00000000" w14:paraId="00000031">
      <w:pPr>
        <w:pageBreakBefore w:val="0"/>
        <w:spacing w:after="160" w:line="259" w:lineRule="auto"/>
        <w:ind w:left="0" w:firstLine="0"/>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Los crímenes de lesa humanidad se encuentran previstos en el Estatuto de Roma, el cual hace parte del bloque de constitucionalidad en sentido estricto a la luz del artículo 93 de la Constitución.</w:t>
      </w:r>
    </w:p>
    <w:p w:rsidR="00000000" w:rsidDel="00000000" w:rsidP="00000000" w:rsidRDefault="00000000" w:rsidRPr="00000000" w14:paraId="00000032">
      <w:pPr>
        <w:pageBreakBefore w:val="0"/>
        <w:spacing w:after="160" w:line="259" w:lineRule="auto"/>
        <w:ind w:left="0" w:firstLine="0"/>
        <w:jc w:val="both"/>
        <w:rPr>
          <w:rFonts w:ascii="Garamond" w:cs="Garamond" w:eastAsia="Garamond" w:hAnsi="Garamond"/>
          <w:sz w:val="24"/>
          <w:szCs w:val="24"/>
        </w:rPr>
      </w:pPr>
      <w:r w:rsidDel="00000000" w:rsidR="00000000" w:rsidRPr="00000000">
        <w:rPr>
          <w:rFonts w:ascii="Book Antiqua" w:cs="Book Antiqua" w:eastAsia="Book Antiqua" w:hAnsi="Book Antiqua"/>
          <w:sz w:val="24"/>
          <w:szCs w:val="24"/>
          <w:rtl w:val="0"/>
        </w:rPr>
        <w:t xml:space="preserve">El artículo 7 del mencionado estatuto contempla a los crímenes de lesa humanidad de la siguiente manera: </w:t>
      </w:r>
      <w:r w:rsidDel="00000000" w:rsidR="00000000" w:rsidRPr="00000000">
        <w:rPr>
          <w:rtl w:val="0"/>
        </w:rPr>
      </w:r>
    </w:p>
    <w:p w:rsidR="00000000" w:rsidDel="00000000" w:rsidP="00000000" w:rsidRDefault="00000000" w:rsidRPr="00000000" w14:paraId="00000033">
      <w:pPr>
        <w:pageBreakBefore w:val="0"/>
        <w:spacing w:after="240" w:before="240" w:line="259" w:lineRule="auto"/>
        <w:ind w:left="720" w:firstLine="0"/>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“A los efectos del presente Estatuto, se entenderá por “crimen de lesa humanidad” cualquiera de los actos siguientes cuando se cometa como parte de </w:t>
      </w:r>
      <w:r w:rsidDel="00000000" w:rsidR="00000000" w:rsidRPr="00000000">
        <w:rPr>
          <w:rFonts w:ascii="Book Antiqua" w:cs="Book Antiqua" w:eastAsia="Book Antiqua" w:hAnsi="Book Antiqua"/>
          <w:b w:val="1"/>
          <w:sz w:val="24"/>
          <w:szCs w:val="24"/>
          <w:u w:val="single"/>
          <w:rtl w:val="0"/>
        </w:rPr>
        <w:t xml:space="preserve">un ataque generalizado o sistemático contra una población civil </w:t>
      </w:r>
      <w:r w:rsidDel="00000000" w:rsidR="00000000" w:rsidRPr="00000000">
        <w:rPr>
          <w:rFonts w:ascii="Book Antiqua" w:cs="Book Antiqua" w:eastAsia="Book Antiqua" w:hAnsi="Book Antiqua"/>
          <w:sz w:val="24"/>
          <w:szCs w:val="24"/>
          <w:rtl w:val="0"/>
        </w:rPr>
        <w:t xml:space="preserve">y con conocimiento de dicho ataque.</w:t>
      </w:r>
      <w:r w:rsidDel="00000000" w:rsidR="00000000" w:rsidRPr="00000000">
        <w:rPr>
          <w:rFonts w:ascii="Book Antiqua" w:cs="Book Antiqua" w:eastAsia="Book Antiqua" w:hAnsi="Book Antiqua"/>
          <w:sz w:val="24"/>
          <w:szCs w:val="24"/>
          <w:vertAlign w:val="superscript"/>
        </w:rPr>
        <w:footnoteReference w:customMarkFollows="0" w:id="9"/>
      </w:r>
      <w:r w:rsidDel="00000000" w:rsidR="00000000" w:rsidRPr="00000000">
        <w:rPr>
          <w:rFonts w:ascii="Book Antiqua" w:cs="Book Antiqua" w:eastAsia="Book Antiqua" w:hAnsi="Book Antiqua"/>
          <w:sz w:val="24"/>
          <w:szCs w:val="24"/>
          <w:rtl w:val="0"/>
        </w:rPr>
        <w:t xml:space="preserve"> (Negrilla fuera de original).”</w:t>
      </w:r>
    </w:p>
    <w:p w:rsidR="00000000" w:rsidDel="00000000" w:rsidP="00000000" w:rsidRDefault="00000000" w:rsidRPr="00000000" w14:paraId="00000034">
      <w:pPr>
        <w:pageBreakBefore w:val="0"/>
        <w:spacing w:after="240" w:before="240" w:line="259" w:lineRule="auto"/>
        <w:ind w:left="0" w:firstLine="0"/>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Dentro de los crímenes enlistados se encuentran: (</w:t>
      </w:r>
      <w:r w:rsidDel="00000000" w:rsidR="00000000" w:rsidRPr="00000000">
        <w:rPr>
          <w:rFonts w:ascii="Book Antiqua" w:cs="Book Antiqua" w:eastAsia="Book Antiqua" w:hAnsi="Book Antiqua"/>
          <w:b w:val="1"/>
          <w:sz w:val="24"/>
          <w:szCs w:val="24"/>
          <w:u w:val="single"/>
          <w:rtl w:val="0"/>
        </w:rPr>
        <w:t xml:space="preserve">i) la tortura y (ii) la desaparición forzada de personas.</w:t>
      </w:r>
      <w:r w:rsidDel="00000000" w:rsidR="00000000" w:rsidRPr="00000000">
        <w:rPr>
          <w:rFonts w:ascii="Book Antiqua" w:cs="Book Antiqua" w:eastAsia="Book Antiqua" w:hAnsi="Book Antiqua"/>
          <w:sz w:val="24"/>
          <w:szCs w:val="24"/>
          <w:rtl w:val="0"/>
        </w:rPr>
        <w:t xml:space="preserve"> Estas fueron definidas en el mismo artículo de este modo: </w:t>
      </w:r>
    </w:p>
    <w:p w:rsidR="00000000" w:rsidDel="00000000" w:rsidP="00000000" w:rsidRDefault="00000000" w:rsidRPr="00000000" w14:paraId="00000035">
      <w:pPr>
        <w:pageBreakBefore w:val="0"/>
        <w:spacing w:after="240" w:before="240" w:line="259" w:lineRule="auto"/>
        <w:ind w:left="720" w:firstLine="0"/>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“Por “tortura” se entenderá</w:t>
      </w:r>
      <w:r w:rsidDel="00000000" w:rsidR="00000000" w:rsidRPr="00000000">
        <w:rPr>
          <w:rFonts w:ascii="Book Antiqua" w:cs="Book Antiqua" w:eastAsia="Book Antiqua" w:hAnsi="Book Antiqua"/>
          <w:b w:val="1"/>
          <w:sz w:val="24"/>
          <w:szCs w:val="24"/>
          <w:u w:val="single"/>
          <w:rtl w:val="0"/>
        </w:rPr>
        <w:t xml:space="preserve"> causar intencionalmente dolor o sufrimientos graves, ya sean físicos o mentales, a una persona que el acusado tenga bajo su custodia o control</w:t>
      </w:r>
      <w:r w:rsidDel="00000000" w:rsidR="00000000" w:rsidRPr="00000000">
        <w:rPr>
          <w:rFonts w:ascii="Book Antiqua" w:cs="Book Antiqua" w:eastAsia="Book Antiqua" w:hAnsi="Book Antiqua"/>
          <w:sz w:val="24"/>
          <w:szCs w:val="24"/>
          <w:rtl w:val="0"/>
        </w:rPr>
        <w:t xml:space="preserve">; sin embargo, no se entenderá por tortura el dolor o los sufrimientos que se deriven únicamente de sanciones lícitas o que sean consecuencia normal o fortuita de ellas;</w:t>
      </w:r>
    </w:p>
    <w:p w:rsidR="00000000" w:rsidDel="00000000" w:rsidP="00000000" w:rsidRDefault="00000000" w:rsidRPr="00000000" w14:paraId="00000036">
      <w:pPr>
        <w:pageBreakBefore w:val="0"/>
        <w:spacing w:after="240" w:before="240" w:line="259" w:lineRule="auto"/>
        <w:ind w:left="720" w:firstLine="0"/>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 </w:t>
      </w:r>
    </w:p>
    <w:p w:rsidR="00000000" w:rsidDel="00000000" w:rsidP="00000000" w:rsidRDefault="00000000" w:rsidRPr="00000000" w14:paraId="00000037">
      <w:pPr>
        <w:pageBreakBefore w:val="0"/>
        <w:spacing w:after="240" w:before="240" w:line="259" w:lineRule="auto"/>
        <w:ind w:left="720" w:firstLine="0"/>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Por “desaparición forzada de personas” se entenderá la </w:t>
      </w:r>
      <w:r w:rsidDel="00000000" w:rsidR="00000000" w:rsidRPr="00000000">
        <w:rPr>
          <w:rFonts w:ascii="Book Antiqua" w:cs="Book Antiqua" w:eastAsia="Book Antiqua" w:hAnsi="Book Antiqua"/>
          <w:b w:val="1"/>
          <w:sz w:val="24"/>
          <w:szCs w:val="24"/>
          <w:u w:val="single"/>
          <w:rtl w:val="0"/>
        </w:rPr>
        <w:t xml:space="preserve">aprehensión, la detención o el secuestro de personas por un Estado o una organización política, o con su autorización, apoyo o aquiescencia, seguido de la negativa a admitir tal privación de libertad o dar información sobre la suerte o el paradero de esas personas</w:t>
      </w:r>
      <w:r w:rsidDel="00000000" w:rsidR="00000000" w:rsidRPr="00000000">
        <w:rPr>
          <w:rFonts w:ascii="Book Antiqua" w:cs="Book Antiqua" w:eastAsia="Book Antiqua" w:hAnsi="Book Antiqua"/>
          <w:sz w:val="24"/>
          <w:szCs w:val="24"/>
          <w:rtl w:val="0"/>
        </w:rPr>
        <w:t xml:space="preserve">, con la intención de dejarlas fuera del amparo de la ley por un periodo prolongado.</w:t>
      </w:r>
      <w:r w:rsidDel="00000000" w:rsidR="00000000" w:rsidRPr="00000000">
        <w:rPr>
          <w:rFonts w:ascii="Book Antiqua" w:cs="Book Antiqua" w:eastAsia="Book Antiqua" w:hAnsi="Book Antiqua"/>
          <w:sz w:val="24"/>
          <w:szCs w:val="24"/>
          <w:vertAlign w:val="superscript"/>
        </w:rPr>
        <w:footnoteReference w:customMarkFollows="0" w:id="10"/>
      </w:r>
      <w:r w:rsidDel="00000000" w:rsidR="00000000" w:rsidRPr="00000000">
        <w:rPr>
          <w:rFonts w:ascii="Book Antiqua" w:cs="Book Antiqua" w:eastAsia="Book Antiqua" w:hAnsi="Book Antiqua"/>
          <w:sz w:val="24"/>
          <w:szCs w:val="24"/>
          <w:rtl w:val="0"/>
        </w:rPr>
        <w:t xml:space="preserve">”</w:t>
      </w:r>
    </w:p>
    <w:p w:rsidR="00000000" w:rsidDel="00000000" w:rsidP="00000000" w:rsidRDefault="00000000" w:rsidRPr="00000000" w14:paraId="00000038">
      <w:pPr>
        <w:pageBreakBefore w:val="0"/>
        <w:spacing w:after="240" w:before="240" w:line="259" w:lineRule="auto"/>
        <w:ind w:left="0" w:firstLine="0"/>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De modo que, cuando se trata de un ataque sistemático y generalizado en contra de la población civil, en el que se configura uno de los crimenes enlistados, tales como la tortura o la desparición forzada, es posible afirmar que existe un crimen de lesa humanidad. </w:t>
      </w:r>
    </w:p>
    <w:p w:rsidR="00000000" w:rsidDel="00000000" w:rsidP="00000000" w:rsidRDefault="00000000" w:rsidRPr="00000000" w14:paraId="00000039">
      <w:pPr>
        <w:pageBreakBefore w:val="0"/>
        <w:spacing w:after="240" w:before="240" w:line="259" w:lineRule="auto"/>
        <w:ind w:left="0" w:firstLine="0"/>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En este punto, es menester resaltar que, los crímenes de lesa humanidad, a diferencia de los crímenes de guerra -contemplados igualmente en el Estatuto de Roma-, no están circunscritos a un contexto de conflicto armado, ya sea internacional o no internacional. Esto ha sido puntualizado por la Corte Suprema de Justicia de la siguiente manera: </w:t>
      </w:r>
    </w:p>
    <w:p w:rsidR="00000000" w:rsidDel="00000000" w:rsidP="00000000" w:rsidRDefault="00000000" w:rsidRPr="00000000" w14:paraId="0000003A">
      <w:pPr>
        <w:pageBreakBefore w:val="0"/>
        <w:spacing w:after="240" w:before="240" w:line="259" w:lineRule="auto"/>
        <w:ind w:left="720" w:firstLine="0"/>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“En Colombia, la Sala de Casación Penal, aludiendo al criterio sistemático de los delitos de lesa humanidad, señaló que los mismos pueden cometerse en tiempos de paz o durante conflictos armados, en donde la nota característica implica un «ataque generalizado contra la población civil»”</w:t>
      </w:r>
      <w:r w:rsidDel="00000000" w:rsidR="00000000" w:rsidRPr="00000000">
        <w:rPr>
          <w:rFonts w:ascii="Book Antiqua" w:cs="Book Antiqua" w:eastAsia="Book Antiqua" w:hAnsi="Book Antiqua"/>
          <w:sz w:val="24"/>
          <w:szCs w:val="24"/>
          <w:vertAlign w:val="superscript"/>
        </w:rPr>
        <w:footnoteReference w:customMarkFollows="0" w:id="11"/>
      </w:r>
      <w:r w:rsidDel="00000000" w:rsidR="00000000" w:rsidRPr="00000000">
        <w:rPr>
          <w:rFonts w:ascii="Book Antiqua" w:cs="Book Antiqua" w:eastAsia="Book Antiqua" w:hAnsi="Book Antiqua"/>
          <w:sz w:val="24"/>
          <w:szCs w:val="24"/>
          <w:rtl w:val="0"/>
        </w:rPr>
        <w:t xml:space="preserve">.</w:t>
      </w:r>
    </w:p>
    <w:p w:rsidR="00000000" w:rsidDel="00000000" w:rsidP="00000000" w:rsidRDefault="00000000" w:rsidRPr="00000000" w14:paraId="0000003B">
      <w:pPr>
        <w:pageBreakBefore w:val="0"/>
        <w:spacing w:after="240" w:before="240" w:line="259" w:lineRule="auto"/>
        <w:ind w:left="0" w:firstLine="0"/>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En el particular, teniendo en cuenta que </w:t>
      </w:r>
      <w:r w:rsidDel="00000000" w:rsidR="00000000" w:rsidRPr="00000000">
        <w:rPr>
          <w:rFonts w:ascii="Book Antiqua" w:cs="Book Antiqua" w:eastAsia="Book Antiqua" w:hAnsi="Book Antiqua"/>
          <w:sz w:val="24"/>
          <w:szCs w:val="24"/>
          <w:u w:val="single"/>
          <w:rtl w:val="0"/>
        </w:rPr>
        <w:t xml:space="preserve">no existen</w:t>
      </w:r>
      <w:r w:rsidDel="00000000" w:rsidR="00000000" w:rsidRPr="00000000">
        <w:rPr>
          <w:rFonts w:ascii="Book Antiqua" w:cs="Book Antiqua" w:eastAsia="Book Antiqua" w:hAnsi="Book Antiqua"/>
          <w:sz w:val="24"/>
          <w:szCs w:val="24"/>
          <w:rtl w:val="0"/>
        </w:rPr>
        <w:t xml:space="preserve"> hostilidades entre el Estado colombiano y un grupo armado organizado a la luz de las definiciones de la Corte Penal Internacional y las normas consuetudinarias en la materia, no es posible afirmar la existencia de un conflicto armado no internacional en el marco del Paro Nacional. Por lo tanto, no resulta factible la comisión de crímenes de guerra.</w:t>
      </w:r>
    </w:p>
    <w:p w:rsidR="00000000" w:rsidDel="00000000" w:rsidP="00000000" w:rsidRDefault="00000000" w:rsidRPr="00000000" w14:paraId="0000003C">
      <w:pPr>
        <w:pageBreakBefore w:val="0"/>
        <w:spacing w:after="240" w:before="240" w:line="259" w:lineRule="auto"/>
        <w:ind w:left="0" w:firstLine="0"/>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Ahora bien, sobre los criterios de sistematicidad y generalidad de los crímenes de lesa humanidad, la Corte Suprema de Justicia ha precisado su definición: </w:t>
      </w:r>
    </w:p>
    <w:p w:rsidR="00000000" w:rsidDel="00000000" w:rsidP="00000000" w:rsidRDefault="00000000" w:rsidRPr="00000000" w14:paraId="0000003D">
      <w:pPr>
        <w:pageBreakBefore w:val="0"/>
        <w:spacing w:after="240" w:before="240" w:line="259" w:lineRule="auto"/>
        <w:ind w:left="720" w:firstLine="0"/>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“Comprende entonces dos conceptos: el inicial, en términos del </w:t>
      </w:r>
      <w:r w:rsidDel="00000000" w:rsidR="00000000" w:rsidRPr="00000000">
        <w:rPr>
          <w:rFonts w:ascii="Book Antiqua" w:cs="Book Antiqua" w:eastAsia="Book Antiqua" w:hAnsi="Book Antiqua"/>
          <w:b w:val="1"/>
          <w:sz w:val="24"/>
          <w:szCs w:val="24"/>
          <w:rtl w:val="0"/>
        </w:rPr>
        <w:t xml:space="preserve">encuadramiento de la conducta en un plan criminal</w:t>
      </w:r>
      <w:r w:rsidDel="00000000" w:rsidR="00000000" w:rsidRPr="00000000">
        <w:rPr>
          <w:rFonts w:ascii="Book Antiqua" w:cs="Book Antiqua" w:eastAsia="Book Antiqua" w:hAnsi="Book Antiqua"/>
          <w:sz w:val="24"/>
          <w:szCs w:val="24"/>
          <w:rtl w:val="0"/>
        </w:rPr>
        <w:t xml:space="preserve">; y el final, relacionado con el</w:t>
      </w:r>
      <w:r w:rsidDel="00000000" w:rsidR="00000000" w:rsidRPr="00000000">
        <w:rPr>
          <w:rFonts w:ascii="Book Antiqua" w:cs="Book Antiqua" w:eastAsia="Book Antiqua" w:hAnsi="Book Antiqua"/>
          <w:b w:val="1"/>
          <w:sz w:val="24"/>
          <w:szCs w:val="24"/>
          <w:rtl w:val="0"/>
        </w:rPr>
        <w:t xml:space="preserve"> carácter masivo de la conducta,</w:t>
      </w:r>
      <w:r w:rsidDel="00000000" w:rsidR="00000000" w:rsidRPr="00000000">
        <w:rPr>
          <w:rFonts w:ascii="Book Antiqua" w:cs="Book Antiqua" w:eastAsia="Book Antiqua" w:hAnsi="Book Antiqua"/>
          <w:sz w:val="24"/>
          <w:szCs w:val="24"/>
          <w:rtl w:val="0"/>
        </w:rPr>
        <w:t xml:space="preserve"> al punto de desestimar «un acto aislado o esporádico de violencia, sino que debe hacer parte de un ataque generalizado, lo que quiere decir que está dirigido contra una multitud de personas; (…) </w:t>
      </w:r>
      <w:r w:rsidDel="00000000" w:rsidR="00000000" w:rsidRPr="00000000">
        <w:rPr>
          <w:rFonts w:ascii="Book Antiqua" w:cs="Book Antiqua" w:eastAsia="Book Antiqua" w:hAnsi="Book Antiqua"/>
          <w:b w:val="1"/>
          <w:sz w:val="24"/>
          <w:szCs w:val="24"/>
          <w:rtl w:val="0"/>
        </w:rPr>
        <w:t xml:space="preserve">cuyo acto debe tener un móvil discriminatorio, bien que se trate de motivos políticos, ideológicos, religiosos, étnicos o nacionales</w:t>
      </w:r>
      <w:r w:rsidDel="00000000" w:rsidR="00000000" w:rsidRPr="00000000">
        <w:rPr>
          <w:rFonts w:ascii="Book Antiqua" w:cs="Book Antiqua" w:eastAsia="Book Antiqua" w:hAnsi="Book Antiqua"/>
          <w:sz w:val="24"/>
          <w:szCs w:val="24"/>
          <w:rtl w:val="0"/>
        </w:rPr>
        <w:t xml:space="preserve">». La sistematicidad no solo puede ser abordada y aplicada por el Derecho Penal y el Derecho Internacional en función del juzgamiento de crímenes de lesa humanidad, sino también en situaciones graves de violación de los derechos reconocidos en la Convención Americana sobre Derechos Humanos</w:t>
      </w:r>
      <w:r w:rsidDel="00000000" w:rsidR="00000000" w:rsidRPr="00000000">
        <w:rPr>
          <w:rFonts w:ascii="Book Antiqua" w:cs="Book Antiqua" w:eastAsia="Book Antiqua" w:hAnsi="Book Antiqua"/>
          <w:sz w:val="24"/>
          <w:szCs w:val="24"/>
          <w:vertAlign w:val="superscript"/>
        </w:rPr>
        <w:footnoteReference w:customMarkFollows="0" w:id="12"/>
      </w:r>
      <w:r w:rsidDel="00000000" w:rsidR="00000000" w:rsidRPr="00000000">
        <w:rPr>
          <w:rFonts w:ascii="Book Antiqua" w:cs="Book Antiqua" w:eastAsia="Book Antiqua" w:hAnsi="Book Antiqua"/>
          <w:sz w:val="24"/>
          <w:szCs w:val="24"/>
          <w:rtl w:val="0"/>
        </w:rPr>
        <w:t xml:space="preserve">.”</w:t>
      </w:r>
    </w:p>
    <w:p w:rsidR="00000000" w:rsidDel="00000000" w:rsidP="00000000" w:rsidRDefault="00000000" w:rsidRPr="00000000" w14:paraId="0000003E">
      <w:pPr>
        <w:pageBreakBefore w:val="0"/>
        <w:spacing w:after="160" w:line="259" w:lineRule="auto"/>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De modo que, si se demuestra el caracter masivo de las desapariciones forzadas y tortura a marchantes en el marco del Paro Nacional dentro de un plan, es posible endilgar la comision de crimenes de lesa humanidad dentro de la jurisdiccion penal colombiana o, subsidiariamente, a nivel internacional. Estos crímenes fueron incluidos dentro del Código Penal colombiano en el artículo 165 -desaparición forzada de personas- y 168 -tortura-. </w:t>
      </w:r>
    </w:p>
    <w:p w:rsidR="00000000" w:rsidDel="00000000" w:rsidP="00000000" w:rsidRDefault="00000000" w:rsidRPr="00000000" w14:paraId="0000003F">
      <w:pPr>
        <w:pageBreakBefore w:val="0"/>
        <w:spacing w:after="160" w:line="259" w:lineRule="auto"/>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Sobre esto, es importante destacar que los crímenes de lesa humanidad no son susceptibles de ser conocidos por la jurisdicción penal militar en el marco de las normas nacionales e internacionales. </w:t>
      </w:r>
    </w:p>
    <w:p w:rsidR="00000000" w:rsidDel="00000000" w:rsidP="00000000" w:rsidRDefault="00000000" w:rsidRPr="00000000" w14:paraId="00000040">
      <w:pPr>
        <w:pageBreakBefore w:val="0"/>
        <w:spacing w:after="160" w:line="259" w:lineRule="auto"/>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Así, la Convención Interamericana sobre Desaparición Forzada de Personas en su artículo IX  dispone que:</w:t>
      </w:r>
    </w:p>
    <w:p w:rsidR="00000000" w:rsidDel="00000000" w:rsidP="00000000" w:rsidRDefault="00000000" w:rsidRPr="00000000" w14:paraId="00000041">
      <w:pPr>
        <w:pageBreakBefore w:val="0"/>
        <w:spacing w:after="240" w:before="240" w:line="259" w:lineRule="auto"/>
        <w:ind w:left="720" w:firstLine="0"/>
        <w:jc w:val="both"/>
        <w:rPr>
          <w:rFonts w:ascii="Book Antiqua" w:cs="Book Antiqua" w:eastAsia="Book Antiqua" w:hAnsi="Book Antiqua"/>
          <w:b w:val="1"/>
          <w:sz w:val="24"/>
          <w:szCs w:val="24"/>
          <w:u w:val="single"/>
        </w:rPr>
      </w:pPr>
      <w:r w:rsidDel="00000000" w:rsidR="00000000" w:rsidRPr="00000000">
        <w:rPr>
          <w:rFonts w:ascii="Book Antiqua" w:cs="Book Antiqua" w:eastAsia="Book Antiqua" w:hAnsi="Book Antiqua"/>
          <w:sz w:val="24"/>
          <w:szCs w:val="24"/>
          <w:rtl w:val="0"/>
        </w:rPr>
        <w:t xml:space="preserve">“Los presuntos responsables de los hechos constitutivos del delito de desaparición forzada de personas </w:t>
      </w:r>
      <w:r w:rsidDel="00000000" w:rsidR="00000000" w:rsidRPr="00000000">
        <w:rPr>
          <w:rFonts w:ascii="Book Antiqua" w:cs="Book Antiqua" w:eastAsia="Book Antiqua" w:hAnsi="Book Antiqua"/>
          <w:b w:val="1"/>
          <w:sz w:val="24"/>
          <w:szCs w:val="24"/>
          <w:u w:val="single"/>
          <w:rtl w:val="0"/>
        </w:rPr>
        <w:t xml:space="preserve">sólo podrán ser juzgados por las jurisdicciones de derecho común competentes en cada Estado, con exclusión de toda jurisdicción especial, en particular la militar.</w:t>
      </w:r>
    </w:p>
    <w:p w:rsidR="00000000" w:rsidDel="00000000" w:rsidP="00000000" w:rsidRDefault="00000000" w:rsidRPr="00000000" w14:paraId="00000042">
      <w:pPr>
        <w:pageBreakBefore w:val="0"/>
        <w:spacing w:after="240" w:before="240" w:line="259" w:lineRule="auto"/>
        <w:ind w:left="720" w:firstLine="0"/>
        <w:jc w:val="both"/>
        <w:rPr>
          <w:rFonts w:ascii="Book Antiqua" w:cs="Book Antiqua" w:eastAsia="Book Antiqua" w:hAnsi="Book Antiqua"/>
          <w:b w:val="1"/>
          <w:sz w:val="24"/>
          <w:szCs w:val="24"/>
          <w:u w:val="single"/>
        </w:rPr>
      </w:pPr>
      <w:r w:rsidDel="00000000" w:rsidR="00000000" w:rsidRPr="00000000">
        <w:rPr>
          <w:rFonts w:ascii="Book Antiqua" w:cs="Book Antiqua" w:eastAsia="Book Antiqua" w:hAnsi="Book Antiqua"/>
          <w:sz w:val="24"/>
          <w:szCs w:val="24"/>
          <w:rtl w:val="0"/>
        </w:rPr>
        <w:t xml:space="preserve">Los hechos constitutivos de la desaparición forzada </w:t>
      </w:r>
      <w:r w:rsidDel="00000000" w:rsidR="00000000" w:rsidRPr="00000000">
        <w:rPr>
          <w:rFonts w:ascii="Book Antiqua" w:cs="Book Antiqua" w:eastAsia="Book Antiqua" w:hAnsi="Book Antiqua"/>
          <w:b w:val="1"/>
          <w:sz w:val="24"/>
          <w:szCs w:val="24"/>
          <w:u w:val="single"/>
          <w:rtl w:val="0"/>
        </w:rPr>
        <w:t xml:space="preserve">no podrán considerarse como cometidos en el ejercicio de las funciones militares.</w:t>
      </w:r>
    </w:p>
    <w:p w:rsidR="00000000" w:rsidDel="00000000" w:rsidP="00000000" w:rsidRDefault="00000000" w:rsidRPr="00000000" w14:paraId="00000043">
      <w:pPr>
        <w:pageBreakBefore w:val="0"/>
        <w:spacing w:after="240" w:before="240" w:line="259" w:lineRule="auto"/>
        <w:ind w:left="720" w:firstLine="0"/>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No se admitirán privilegios, inmunidades, ni dispensas especiales en tales procesos, sin perjuicio de las disposiciones que figuran en la Convención de Viena sobre Relaciones Diplomáticas.</w:t>
      </w:r>
      <w:r w:rsidDel="00000000" w:rsidR="00000000" w:rsidRPr="00000000">
        <w:rPr>
          <w:rFonts w:ascii="Book Antiqua" w:cs="Book Antiqua" w:eastAsia="Book Antiqua" w:hAnsi="Book Antiqua"/>
          <w:sz w:val="24"/>
          <w:szCs w:val="24"/>
          <w:vertAlign w:val="superscript"/>
        </w:rPr>
        <w:footnoteReference w:customMarkFollows="0" w:id="13"/>
      </w:r>
      <w:r w:rsidDel="00000000" w:rsidR="00000000" w:rsidRPr="00000000">
        <w:rPr>
          <w:rFonts w:ascii="Book Antiqua" w:cs="Book Antiqua" w:eastAsia="Book Antiqua" w:hAnsi="Book Antiqua"/>
          <w:sz w:val="24"/>
          <w:szCs w:val="24"/>
          <w:rtl w:val="0"/>
        </w:rPr>
        <w:t xml:space="preserve">”</w:t>
      </w:r>
    </w:p>
    <w:p w:rsidR="00000000" w:rsidDel="00000000" w:rsidP="00000000" w:rsidRDefault="00000000" w:rsidRPr="00000000" w14:paraId="00000044">
      <w:pPr>
        <w:pageBreakBefore w:val="0"/>
        <w:spacing w:after="240" w:before="240" w:line="259" w:lineRule="auto"/>
        <w:ind w:left="0" w:firstLine="0"/>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En este mismo sentido, el artículo 3 del Código Penal Militar, sobre los delitos del servicio que puede conocer esta jurisdicción, expresamente dispone que: </w:t>
      </w:r>
      <w:r w:rsidDel="00000000" w:rsidR="00000000" w:rsidRPr="00000000">
        <w:rPr>
          <w:rFonts w:ascii="Book Antiqua" w:cs="Book Antiqua" w:eastAsia="Book Antiqua" w:hAnsi="Book Antiqua"/>
          <w:b w:val="1"/>
          <w:sz w:val="24"/>
          <w:szCs w:val="24"/>
          <w:rtl w:val="0"/>
        </w:rPr>
        <w:t xml:space="preserve">“</w:t>
      </w:r>
      <w:r w:rsidDel="00000000" w:rsidR="00000000" w:rsidRPr="00000000">
        <w:rPr>
          <w:rFonts w:ascii="Book Antiqua" w:cs="Book Antiqua" w:eastAsia="Book Antiqua" w:hAnsi="Book Antiqua"/>
          <w:b w:val="1"/>
          <w:sz w:val="24"/>
          <w:szCs w:val="24"/>
          <w:rtl w:val="0"/>
        </w:rPr>
        <w:t xml:space="preserve">... en ningún caso podrán relacionarse con el servicio los delitos de tortura, genocidio, desaparición forzada, de lesa humanidad</w:t>
      </w:r>
      <w:r w:rsidDel="00000000" w:rsidR="00000000" w:rsidRPr="00000000">
        <w:rPr>
          <w:rFonts w:ascii="Book Antiqua" w:cs="Book Antiqua" w:eastAsia="Book Antiqua" w:hAnsi="Book Antiqua"/>
          <w:sz w:val="24"/>
          <w:szCs w:val="24"/>
          <w:rtl w:val="0"/>
        </w:rPr>
        <w:t xml:space="preserve"> o aquellos que atenten contra el Derecho Internacional Humanitario entendidos en los términos definidos en convenios y tratados internacionales ratificados por Colombia, </w:t>
      </w:r>
      <w:r w:rsidDel="00000000" w:rsidR="00000000" w:rsidRPr="00000000">
        <w:rPr>
          <w:rFonts w:ascii="Book Antiqua" w:cs="Book Antiqua" w:eastAsia="Book Antiqua" w:hAnsi="Book Antiqua"/>
          <w:sz w:val="24"/>
          <w:szCs w:val="24"/>
          <w:rtl w:val="0"/>
        </w:rPr>
        <w:t xml:space="preserve">ni las conductas que sean abiertamente contrarias a la función constitucional de la Fuerza Pública y que por su sola comisión rompan el nexo funcional del agente con el servicio</w:t>
      </w:r>
      <w:r w:rsidDel="00000000" w:rsidR="00000000" w:rsidRPr="00000000">
        <w:rPr>
          <w:rFonts w:ascii="Book Antiqua" w:cs="Book Antiqua" w:eastAsia="Book Antiqua" w:hAnsi="Book Antiqua"/>
          <w:sz w:val="24"/>
          <w:szCs w:val="24"/>
          <w:vertAlign w:val="superscript"/>
        </w:rPr>
        <w:footnoteReference w:customMarkFollows="0" w:id="14"/>
      </w:r>
      <w:r w:rsidDel="00000000" w:rsidR="00000000" w:rsidRPr="00000000">
        <w:rPr>
          <w:rFonts w:ascii="Book Antiqua" w:cs="Book Antiqua" w:eastAsia="Book Antiqua" w:hAnsi="Book Antiqua"/>
          <w:sz w:val="24"/>
          <w:szCs w:val="24"/>
          <w:rtl w:val="0"/>
        </w:rPr>
        <w:t xml:space="preserve"> (Negrilla fuera de original).”</w:t>
      </w:r>
    </w:p>
    <w:p w:rsidR="00000000" w:rsidDel="00000000" w:rsidP="00000000" w:rsidRDefault="00000000" w:rsidRPr="00000000" w14:paraId="00000045">
      <w:pPr>
        <w:pageBreakBefore w:val="0"/>
        <w:spacing w:after="240" w:before="240" w:line="259" w:lineRule="auto"/>
        <w:ind w:left="0" w:firstLine="0"/>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Asimismo, la Corte Constitucional se ha pronunciado sobre la prohibición de la Justicia Penal Militar para conocer de crímenes de lesa humanidad y acciones que no se encuentran relacionadas con el servicio: </w:t>
      </w:r>
    </w:p>
    <w:p w:rsidR="00000000" w:rsidDel="00000000" w:rsidP="00000000" w:rsidRDefault="00000000" w:rsidRPr="00000000" w14:paraId="00000046">
      <w:pPr>
        <w:pageBreakBefore w:val="0"/>
        <w:spacing w:after="240" w:before="240" w:line="259" w:lineRule="auto"/>
        <w:ind w:left="720" w:firstLine="0"/>
        <w:jc w:val="both"/>
        <w:rPr>
          <w:rFonts w:ascii="Book Antiqua" w:cs="Book Antiqua" w:eastAsia="Book Antiqua" w:hAnsi="Book Antiqua"/>
          <w:sz w:val="24"/>
          <w:szCs w:val="24"/>
          <w:highlight w:val="white"/>
        </w:rPr>
      </w:pPr>
      <w:r w:rsidDel="00000000" w:rsidR="00000000" w:rsidRPr="00000000">
        <w:rPr>
          <w:rFonts w:ascii="Book Antiqua" w:cs="Book Antiqua" w:eastAsia="Book Antiqua" w:hAnsi="Book Antiqua"/>
          <w:sz w:val="24"/>
          <w:szCs w:val="24"/>
          <w:highlight w:val="white"/>
          <w:rtl w:val="0"/>
        </w:rPr>
        <w:t xml:space="preserve">“</w:t>
      </w:r>
      <w:r w:rsidDel="00000000" w:rsidR="00000000" w:rsidRPr="00000000">
        <w:rPr>
          <w:rFonts w:ascii="Book Antiqua" w:cs="Book Antiqua" w:eastAsia="Book Antiqua" w:hAnsi="Book Antiqua"/>
          <w:sz w:val="24"/>
          <w:szCs w:val="24"/>
          <w:highlight w:val="white"/>
          <w:rtl w:val="0"/>
        </w:rPr>
        <w:t xml:space="preserve">La orden del servicio es la que objetivamente se endereza a ejecutar los fines para los cuales está creada la institución. </w:t>
      </w:r>
      <w:r w:rsidDel="00000000" w:rsidR="00000000" w:rsidRPr="00000000">
        <w:rPr>
          <w:rFonts w:ascii="Book Antiqua" w:cs="Book Antiqua" w:eastAsia="Book Antiqua" w:hAnsi="Book Antiqua"/>
          <w:b w:val="1"/>
          <w:sz w:val="24"/>
          <w:szCs w:val="24"/>
          <w:highlight w:val="white"/>
          <w:rtl w:val="0"/>
        </w:rPr>
        <w:t xml:space="preserve">Una orden que de manera ostensible atente contra dichos fines o contra los intereses superiores de la sociedad, no puede reclamar válidamente obediencia.</w:t>
      </w:r>
      <w:r w:rsidDel="00000000" w:rsidR="00000000" w:rsidRPr="00000000">
        <w:rPr>
          <w:rFonts w:ascii="Book Antiqua" w:cs="Book Antiqua" w:eastAsia="Book Antiqua" w:hAnsi="Book Antiqua"/>
          <w:sz w:val="24"/>
          <w:szCs w:val="24"/>
          <w:highlight w:val="white"/>
          <w:rtl w:val="0"/>
        </w:rPr>
        <w:t xml:space="preserve"> </w:t>
      </w:r>
      <w:r w:rsidDel="00000000" w:rsidR="00000000" w:rsidRPr="00000000">
        <w:rPr>
          <w:rFonts w:ascii="Book Antiqua" w:cs="Book Antiqua" w:eastAsia="Book Antiqua" w:hAnsi="Book Antiqua"/>
          <w:b w:val="1"/>
          <w:sz w:val="24"/>
          <w:szCs w:val="24"/>
          <w:highlight w:val="white"/>
          <w:rtl w:val="0"/>
        </w:rPr>
        <w:t xml:space="preserve">La orden de agredir sexualmente a una persona o de infligirle torturas, bajo ninguna circunstancia puede merecer el calificativo de orden del servicio.</w:t>
      </w:r>
      <w:r w:rsidDel="00000000" w:rsidR="00000000" w:rsidRPr="00000000">
        <w:rPr>
          <w:rFonts w:ascii="Book Antiqua" w:cs="Book Antiqua" w:eastAsia="Book Antiqua" w:hAnsi="Book Antiqua"/>
          <w:sz w:val="24"/>
          <w:szCs w:val="24"/>
          <w:highlight w:val="white"/>
          <w:rtl w:val="0"/>
        </w:rPr>
        <w:t xml:space="preserve"> Estas acciones que se enuncian, a título de ilustración, son ajenas completamente al objeto de la función pública confiada a los militares y al conjunto de sus deberes legales</w:t>
      </w:r>
      <w:r w:rsidDel="00000000" w:rsidR="00000000" w:rsidRPr="00000000">
        <w:rPr>
          <w:rFonts w:ascii="Book Antiqua" w:cs="Book Antiqua" w:eastAsia="Book Antiqua" w:hAnsi="Book Antiqua"/>
          <w:sz w:val="24"/>
          <w:szCs w:val="24"/>
          <w:highlight w:val="white"/>
          <w:vertAlign w:val="superscript"/>
        </w:rPr>
        <w:footnoteReference w:customMarkFollows="0" w:id="15"/>
      </w:r>
      <w:r w:rsidDel="00000000" w:rsidR="00000000" w:rsidRPr="00000000">
        <w:rPr>
          <w:rFonts w:ascii="Book Antiqua" w:cs="Book Antiqua" w:eastAsia="Book Antiqua" w:hAnsi="Book Antiqua"/>
          <w:sz w:val="24"/>
          <w:szCs w:val="24"/>
          <w:highlight w:val="white"/>
          <w:rtl w:val="0"/>
        </w:rPr>
        <w:t xml:space="preserve"> (Negrilla fuera de original).”</w:t>
      </w:r>
    </w:p>
    <w:p w:rsidR="00000000" w:rsidDel="00000000" w:rsidP="00000000" w:rsidRDefault="00000000" w:rsidRPr="00000000" w14:paraId="00000047">
      <w:pPr>
        <w:pageBreakBefore w:val="0"/>
        <w:spacing w:after="240" w:before="240" w:line="259" w:lineRule="auto"/>
        <w:ind w:left="0" w:firstLine="0"/>
        <w:jc w:val="both"/>
        <w:rPr>
          <w:rFonts w:ascii="Book Antiqua" w:cs="Book Antiqua" w:eastAsia="Book Antiqua" w:hAnsi="Book Antiqua"/>
          <w:sz w:val="24"/>
          <w:szCs w:val="24"/>
          <w:highlight w:val="white"/>
        </w:rPr>
      </w:pPr>
      <w:r w:rsidDel="00000000" w:rsidR="00000000" w:rsidRPr="00000000">
        <w:rPr>
          <w:rFonts w:ascii="Book Antiqua" w:cs="Book Antiqua" w:eastAsia="Book Antiqua" w:hAnsi="Book Antiqua"/>
          <w:sz w:val="24"/>
          <w:szCs w:val="24"/>
          <w:highlight w:val="white"/>
          <w:rtl w:val="0"/>
        </w:rPr>
        <w:t xml:space="preserve">Ahora bien, sobre la responsabilidad que surge a raíz de la comisión de un crimen de lesa humanidad, ésta puede imputarse a distintos actores que participaron en el ilícito. De ello, es importante resaltar que las normas nacionales e internacionales manifiestamente indican que la obediencia debida o actuar en cumplimiento de una orden no son eximentes de responsabilidad penal. </w:t>
      </w:r>
    </w:p>
    <w:p w:rsidR="00000000" w:rsidDel="00000000" w:rsidP="00000000" w:rsidRDefault="00000000" w:rsidRPr="00000000" w14:paraId="00000048">
      <w:pPr>
        <w:pageBreakBefore w:val="0"/>
        <w:spacing w:after="240" w:before="240" w:line="259" w:lineRule="auto"/>
        <w:ind w:left="0" w:firstLine="0"/>
        <w:jc w:val="both"/>
        <w:rPr>
          <w:rFonts w:ascii="Book Antiqua" w:cs="Book Antiqua" w:eastAsia="Book Antiqua" w:hAnsi="Book Antiqua"/>
          <w:sz w:val="24"/>
          <w:szCs w:val="24"/>
          <w:highlight w:val="white"/>
        </w:rPr>
      </w:pPr>
      <w:r w:rsidDel="00000000" w:rsidR="00000000" w:rsidRPr="00000000">
        <w:rPr>
          <w:rFonts w:ascii="Book Antiqua" w:cs="Book Antiqua" w:eastAsia="Book Antiqua" w:hAnsi="Book Antiqua"/>
          <w:sz w:val="24"/>
          <w:szCs w:val="24"/>
          <w:highlight w:val="white"/>
          <w:rtl w:val="0"/>
        </w:rPr>
        <w:t xml:space="preserve">Sobre esto, el artículo 33 del Estatuto de Roma dispone que: </w:t>
      </w:r>
    </w:p>
    <w:p w:rsidR="00000000" w:rsidDel="00000000" w:rsidP="00000000" w:rsidRDefault="00000000" w:rsidRPr="00000000" w14:paraId="00000049">
      <w:pPr>
        <w:pageBreakBefore w:val="0"/>
        <w:spacing w:after="240" w:before="240" w:line="259" w:lineRule="auto"/>
        <w:ind w:left="720" w:firstLine="0"/>
        <w:jc w:val="both"/>
        <w:rPr>
          <w:rFonts w:ascii="Book Antiqua" w:cs="Book Antiqua" w:eastAsia="Book Antiqua" w:hAnsi="Book Antiqua"/>
          <w:sz w:val="24"/>
          <w:szCs w:val="24"/>
          <w:highlight w:val="white"/>
        </w:rPr>
      </w:pPr>
      <w:r w:rsidDel="00000000" w:rsidR="00000000" w:rsidRPr="00000000">
        <w:rPr>
          <w:rFonts w:ascii="Book Antiqua" w:cs="Book Antiqua" w:eastAsia="Book Antiqua" w:hAnsi="Book Antiqua"/>
          <w:sz w:val="24"/>
          <w:szCs w:val="24"/>
          <w:highlight w:val="white"/>
          <w:rtl w:val="0"/>
        </w:rPr>
        <w:t xml:space="preserve">“Quien hubiere cometido un crimen de la competencia de la Corte en cumplimiento de una orden emitida por un gobierno o un superior, sea militar o civil, </w:t>
      </w:r>
      <w:r w:rsidDel="00000000" w:rsidR="00000000" w:rsidRPr="00000000">
        <w:rPr>
          <w:rFonts w:ascii="Book Antiqua" w:cs="Book Antiqua" w:eastAsia="Book Antiqua" w:hAnsi="Book Antiqua"/>
          <w:b w:val="1"/>
          <w:sz w:val="24"/>
          <w:szCs w:val="24"/>
          <w:highlight w:val="white"/>
          <w:rtl w:val="0"/>
        </w:rPr>
        <w:t xml:space="preserve">no será eximido de responsabilidad penal</w:t>
      </w:r>
      <w:r w:rsidDel="00000000" w:rsidR="00000000" w:rsidRPr="00000000">
        <w:rPr>
          <w:rFonts w:ascii="Book Antiqua" w:cs="Book Antiqua" w:eastAsia="Book Antiqua" w:hAnsi="Book Antiqua"/>
          <w:sz w:val="24"/>
          <w:szCs w:val="24"/>
          <w:highlight w:val="white"/>
          <w:rtl w:val="0"/>
        </w:rPr>
        <w:t xml:space="preserve"> a menos que: a) Estuviere obligado por ley a obedecer órdenes emitidas por el gobierno o el superior de que se trate; b) No supiera que la orden era ilícita; y c) La orden no fuera manifiestamente ilícita. 2. </w:t>
      </w:r>
      <w:r w:rsidDel="00000000" w:rsidR="00000000" w:rsidRPr="00000000">
        <w:rPr>
          <w:rFonts w:ascii="Book Antiqua" w:cs="Book Antiqua" w:eastAsia="Book Antiqua" w:hAnsi="Book Antiqua"/>
          <w:b w:val="1"/>
          <w:sz w:val="24"/>
          <w:szCs w:val="24"/>
          <w:highlight w:val="white"/>
          <w:rtl w:val="0"/>
        </w:rPr>
        <w:t xml:space="preserve">A los efectos del presente artículo, se entenderá que las órdenes de cometer genocidio o crímenes de lesa humanidad son manifiestamente ilícitas</w:t>
      </w:r>
      <w:r w:rsidDel="00000000" w:rsidR="00000000" w:rsidRPr="00000000">
        <w:rPr>
          <w:rFonts w:ascii="Book Antiqua" w:cs="Book Antiqua" w:eastAsia="Book Antiqua" w:hAnsi="Book Antiqua"/>
          <w:sz w:val="24"/>
          <w:szCs w:val="24"/>
          <w:highlight w:val="white"/>
          <w:vertAlign w:val="superscript"/>
        </w:rPr>
        <w:footnoteReference w:customMarkFollows="0" w:id="16"/>
      </w:r>
      <w:r w:rsidDel="00000000" w:rsidR="00000000" w:rsidRPr="00000000">
        <w:rPr>
          <w:rFonts w:ascii="Book Antiqua" w:cs="Book Antiqua" w:eastAsia="Book Antiqua" w:hAnsi="Book Antiqua"/>
          <w:sz w:val="24"/>
          <w:szCs w:val="24"/>
          <w:highlight w:val="white"/>
          <w:rtl w:val="0"/>
        </w:rPr>
        <w:t xml:space="preserve"> (Negrilla fuera de original).”</w:t>
      </w:r>
    </w:p>
    <w:p w:rsidR="00000000" w:rsidDel="00000000" w:rsidP="00000000" w:rsidRDefault="00000000" w:rsidRPr="00000000" w14:paraId="0000004A">
      <w:pPr>
        <w:pageBreakBefore w:val="0"/>
        <w:spacing w:after="240" w:before="240" w:line="259" w:lineRule="auto"/>
        <w:ind w:left="0" w:firstLine="0"/>
        <w:jc w:val="both"/>
        <w:rPr>
          <w:rFonts w:ascii="Book Antiqua" w:cs="Book Antiqua" w:eastAsia="Book Antiqua" w:hAnsi="Book Antiqua"/>
          <w:sz w:val="24"/>
          <w:szCs w:val="24"/>
          <w:highlight w:val="white"/>
        </w:rPr>
      </w:pPr>
      <w:r w:rsidDel="00000000" w:rsidR="00000000" w:rsidRPr="00000000">
        <w:rPr>
          <w:rFonts w:ascii="Book Antiqua" w:cs="Book Antiqua" w:eastAsia="Book Antiqua" w:hAnsi="Book Antiqua"/>
          <w:sz w:val="24"/>
          <w:szCs w:val="24"/>
          <w:highlight w:val="white"/>
          <w:rtl w:val="0"/>
        </w:rPr>
        <w:t xml:space="preserve">En este mismo sentido, el artículo XIII de la Convención Interamericana Sobre Desaparición Forzada de Personas expresa que: “(n)o se admitirá la eximente de la obediencia debida a órdenes o instrucciones superiores que dispongan, autoricen o alienten la desaparición forzada. </w:t>
      </w:r>
      <w:r w:rsidDel="00000000" w:rsidR="00000000" w:rsidRPr="00000000">
        <w:rPr>
          <w:rFonts w:ascii="Book Antiqua" w:cs="Book Antiqua" w:eastAsia="Book Antiqua" w:hAnsi="Book Antiqua"/>
          <w:b w:val="1"/>
          <w:sz w:val="24"/>
          <w:szCs w:val="24"/>
          <w:highlight w:val="white"/>
          <w:rtl w:val="0"/>
        </w:rPr>
        <w:t xml:space="preserve">Toda persona que reciba tales órdenes tienen el derecho y el deber de no obedecerlas</w:t>
      </w:r>
      <w:r w:rsidDel="00000000" w:rsidR="00000000" w:rsidRPr="00000000">
        <w:rPr>
          <w:rFonts w:ascii="Book Antiqua" w:cs="Book Antiqua" w:eastAsia="Book Antiqua" w:hAnsi="Book Antiqua"/>
          <w:b w:val="1"/>
          <w:sz w:val="24"/>
          <w:szCs w:val="24"/>
          <w:highlight w:val="white"/>
          <w:vertAlign w:val="superscript"/>
        </w:rPr>
        <w:footnoteReference w:customMarkFollows="0" w:id="17"/>
      </w:r>
      <w:r w:rsidDel="00000000" w:rsidR="00000000" w:rsidRPr="00000000">
        <w:rPr>
          <w:rFonts w:ascii="Book Antiqua" w:cs="Book Antiqua" w:eastAsia="Book Antiqua" w:hAnsi="Book Antiqua"/>
          <w:sz w:val="24"/>
          <w:szCs w:val="24"/>
          <w:highlight w:val="white"/>
          <w:rtl w:val="0"/>
        </w:rPr>
        <w:t xml:space="preserve">” (Negrilla fuera de original).</w:t>
      </w:r>
    </w:p>
    <w:p w:rsidR="00000000" w:rsidDel="00000000" w:rsidP="00000000" w:rsidRDefault="00000000" w:rsidRPr="00000000" w14:paraId="0000004B">
      <w:pPr>
        <w:pageBreakBefore w:val="0"/>
        <w:spacing w:after="240" w:before="240" w:line="259" w:lineRule="auto"/>
        <w:ind w:left="0" w:firstLine="0"/>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highlight w:val="white"/>
          <w:rtl w:val="0"/>
        </w:rPr>
        <w:t xml:space="preserve">De modo que, la ejecución de órdenes que derivan en un crimen de lesa humanidad no debe ser acatada y la persona que las recibe se encuentra amparada por normas nacionales e internacionales para desconocer dicha orden. </w:t>
      </w:r>
      <w:r w:rsidDel="00000000" w:rsidR="00000000" w:rsidRPr="00000000">
        <w:rPr>
          <w:rtl w:val="0"/>
        </w:rPr>
      </w:r>
    </w:p>
    <w:p w:rsidR="00000000" w:rsidDel="00000000" w:rsidP="00000000" w:rsidRDefault="00000000" w:rsidRPr="00000000" w14:paraId="0000004C">
      <w:pPr>
        <w:pageBreakBefore w:val="0"/>
        <w:numPr>
          <w:ilvl w:val="0"/>
          <w:numId w:val="2"/>
        </w:numPr>
        <w:spacing w:after="160" w:line="259" w:lineRule="auto"/>
        <w:ind w:left="720" w:hanging="360"/>
        <w:jc w:val="both"/>
        <w:rPr>
          <w:rFonts w:ascii="Book Antiqua" w:cs="Book Antiqua" w:eastAsia="Book Antiqua" w:hAnsi="Book Antiqua"/>
          <w:sz w:val="24"/>
          <w:szCs w:val="24"/>
        </w:rPr>
      </w:pPr>
      <w:r w:rsidDel="00000000" w:rsidR="00000000" w:rsidRPr="00000000">
        <w:rPr>
          <w:rFonts w:ascii="Book Antiqua" w:cs="Book Antiqua" w:eastAsia="Book Antiqua" w:hAnsi="Book Antiqua"/>
          <w:b w:val="1"/>
          <w:sz w:val="24"/>
          <w:szCs w:val="24"/>
          <w:rtl w:val="0"/>
        </w:rPr>
        <w:t xml:space="preserve">¿Por qué la orden en particular es ilegítima? </w:t>
      </w:r>
    </w:p>
    <w:p w:rsidR="00000000" w:rsidDel="00000000" w:rsidP="00000000" w:rsidRDefault="00000000" w:rsidRPr="00000000" w14:paraId="0000004D">
      <w:pPr>
        <w:pageBreakBefore w:val="0"/>
        <w:spacing w:after="160" w:line="259" w:lineRule="auto"/>
        <w:ind w:left="0" w:firstLine="0"/>
        <w:jc w:val="both"/>
        <w:rPr>
          <w:rFonts w:ascii="Book Antiqua" w:cs="Book Antiqua" w:eastAsia="Book Antiqua" w:hAnsi="Book Antiqua"/>
          <w:color w:val="202124"/>
          <w:sz w:val="24"/>
          <w:szCs w:val="24"/>
          <w:highlight w:val="white"/>
        </w:rPr>
      </w:pPr>
      <w:r w:rsidDel="00000000" w:rsidR="00000000" w:rsidRPr="00000000">
        <w:rPr>
          <w:rFonts w:ascii="Book Antiqua" w:cs="Book Antiqua" w:eastAsia="Book Antiqua" w:hAnsi="Book Antiqua"/>
          <w:sz w:val="24"/>
          <w:szCs w:val="24"/>
          <w:rtl w:val="0"/>
        </w:rPr>
        <w:t xml:space="preserve">Dentro del ordenamiento jurídico colombiano, la orden militar es “...l</w:t>
      </w:r>
      <w:r w:rsidDel="00000000" w:rsidR="00000000" w:rsidRPr="00000000">
        <w:rPr>
          <w:rFonts w:ascii="Book Antiqua" w:cs="Book Antiqua" w:eastAsia="Book Antiqua" w:hAnsi="Book Antiqua"/>
          <w:color w:val="202124"/>
          <w:sz w:val="24"/>
          <w:szCs w:val="24"/>
          <w:highlight w:val="white"/>
          <w:rtl w:val="0"/>
        </w:rPr>
        <w:t xml:space="preserve">a manifestación externa del superior con autoridad que se debe obedecer, observar y ejecutar. La orden debe ser legítima, lógica, oportuna, clara, precisa, concisa y relacionada con el servicio o función.</w:t>
      </w:r>
      <w:r w:rsidDel="00000000" w:rsidR="00000000" w:rsidRPr="00000000">
        <w:rPr>
          <w:rFonts w:ascii="Book Antiqua" w:cs="Book Antiqua" w:eastAsia="Book Antiqua" w:hAnsi="Book Antiqua"/>
          <w:color w:val="202124"/>
          <w:sz w:val="24"/>
          <w:szCs w:val="24"/>
          <w:highlight w:val="white"/>
          <w:vertAlign w:val="superscript"/>
        </w:rPr>
        <w:footnoteReference w:customMarkFollows="0" w:id="18"/>
      </w:r>
      <w:r w:rsidDel="00000000" w:rsidR="00000000" w:rsidRPr="00000000">
        <w:rPr>
          <w:rFonts w:ascii="Book Antiqua" w:cs="Book Antiqua" w:eastAsia="Book Antiqua" w:hAnsi="Book Antiqua"/>
          <w:color w:val="202124"/>
          <w:sz w:val="24"/>
          <w:szCs w:val="24"/>
          <w:highlight w:val="white"/>
          <w:rtl w:val="0"/>
        </w:rPr>
        <w:t xml:space="preserve">” Esto implica que no toda orden es legítima y, en consecuencia, no toda orden se torna obligatoria para quien la recibe. </w:t>
      </w:r>
    </w:p>
    <w:p w:rsidR="00000000" w:rsidDel="00000000" w:rsidP="00000000" w:rsidRDefault="00000000" w:rsidRPr="00000000" w14:paraId="0000004E">
      <w:pPr>
        <w:pageBreakBefore w:val="0"/>
        <w:spacing w:after="160" w:line="259" w:lineRule="auto"/>
        <w:ind w:left="0" w:firstLine="0"/>
        <w:jc w:val="both"/>
        <w:rPr>
          <w:rFonts w:ascii="Book Antiqua" w:cs="Book Antiqua" w:eastAsia="Book Antiqua" w:hAnsi="Book Antiqua"/>
          <w:sz w:val="24"/>
          <w:szCs w:val="24"/>
          <w:highlight w:val="white"/>
        </w:rPr>
      </w:pPr>
      <w:r w:rsidDel="00000000" w:rsidR="00000000" w:rsidRPr="00000000">
        <w:rPr>
          <w:rFonts w:ascii="Book Antiqua" w:cs="Book Antiqua" w:eastAsia="Book Antiqua" w:hAnsi="Book Antiqua"/>
          <w:color w:val="202124"/>
          <w:sz w:val="24"/>
          <w:szCs w:val="24"/>
          <w:highlight w:val="white"/>
          <w:rtl w:val="0"/>
        </w:rPr>
        <w:t xml:space="preserve">Así, se ha dicho que una orden ilegítima es aquella que: “...</w:t>
      </w:r>
      <w:r w:rsidDel="00000000" w:rsidR="00000000" w:rsidRPr="00000000">
        <w:rPr>
          <w:rFonts w:ascii="Book Antiqua" w:cs="Book Antiqua" w:eastAsia="Book Antiqua" w:hAnsi="Book Antiqua"/>
          <w:sz w:val="24"/>
          <w:szCs w:val="24"/>
          <w:highlight w:val="white"/>
          <w:rtl w:val="0"/>
        </w:rPr>
        <w:t xml:space="preserve">excede los límites de la competencia o conduce manifiestamente a la violación de la Constitución Política, la ley, las normas institucionales o las órdenes legítimas superiores.</w:t>
      </w:r>
      <w:r w:rsidDel="00000000" w:rsidR="00000000" w:rsidRPr="00000000">
        <w:rPr>
          <w:rFonts w:ascii="Book Antiqua" w:cs="Book Antiqua" w:eastAsia="Book Antiqua" w:hAnsi="Book Antiqua"/>
          <w:sz w:val="24"/>
          <w:szCs w:val="24"/>
          <w:highlight w:val="white"/>
          <w:vertAlign w:val="superscript"/>
        </w:rPr>
        <w:footnoteReference w:customMarkFollows="0" w:id="19"/>
      </w:r>
      <w:r w:rsidDel="00000000" w:rsidR="00000000" w:rsidRPr="00000000">
        <w:rPr>
          <w:rFonts w:ascii="Book Antiqua" w:cs="Book Antiqua" w:eastAsia="Book Antiqua" w:hAnsi="Book Antiqua"/>
          <w:sz w:val="24"/>
          <w:szCs w:val="24"/>
          <w:highlight w:val="white"/>
          <w:rtl w:val="0"/>
        </w:rPr>
        <w:t xml:space="preserve">” De modo que, no existe la obligación de acatar dichas órdenes y, en consecuencia, se exime de responsabilidad por desobedecerlas. Incluso, debe resaltarse que, cuando una orden ilegítima es llevada a cabo la responsabilidad que se derive de su realización recae tanto en el superior que la dictó como en el subalterno que la acató</w:t>
      </w:r>
      <w:r w:rsidDel="00000000" w:rsidR="00000000" w:rsidRPr="00000000">
        <w:rPr>
          <w:rFonts w:ascii="Book Antiqua" w:cs="Book Antiqua" w:eastAsia="Book Antiqua" w:hAnsi="Book Antiqua"/>
          <w:sz w:val="24"/>
          <w:szCs w:val="24"/>
          <w:highlight w:val="white"/>
          <w:vertAlign w:val="superscript"/>
        </w:rPr>
        <w:footnoteReference w:customMarkFollows="0" w:id="20"/>
      </w:r>
      <w:r w:rsidDel="00000000" w:rsidR="00000000" w:rsidRPr="00000000">
        <w:rPr>
          <w:rFonts w:ascii="Book Antiqua" w:cs="Book Antiqua" w:eastAsia="Book Antiqua" w:hAnsi="Book Antiqua"/>
          <w:sz w:val="24"/>
          <w:szCs w:val="24"/>
          <w:highlight w:val="white"/>
          <w:rtl w:val="0"/>
        </w:rPr>
        <w:t xml:space="preserve">. </w:t>
      </w:r>
    </w:p>
    <w:p w:rsidR="00000000" w:rsidDel="00000000" w:rsidP="00000000" w:rsidRDefault="00000000" w:rsidRPr="00000000" w14:paraId="0000004F">
      <w:pPr>
        <w:pageBreakBefore w:val="0"/>
        <w:spacing w:after="160" w:line="259" w:lineRule="auto"/>
        <w:ind w:left="0" w:firstLine="0"/>
        <w:jc w:val="both"/>
        <w:rPr>
          <w:rFonts w:ascii="Book Antiqua" w:cs="Book Antiqua" w:eastAsia="Book Antiqua" w:hAnsi="Book Antiqua"/>
          <w:sz w:val="24"/>
          <w:szCs w:val="24"/>
          <w:highlight w:val="white"/>
        </w:rPr>
      </w:pPr>
      <w:r w:rsidDel="00000000" w:rsidR="00000000" w:rsidRPr="00000000">
        <w:rPr>
          <w:rFonts w:ascii="Book Antiqua" w:cs="Book Antiqua" w:eastAsia="Book Antiqua" w:hAnsi="Book Antiqua"/>
          <w:sz w:val="24"/>
          <w:szCs w:val="24"/>
          <w:highlight w:val="white"/>
          <w:rtl w:val="0"/>
        </w:rPr>
        <w:t xml:space="preserve">Esto ha sido denominado la relativización de la obediencia debida. Así, si bien la obediencia es un pilar fundamental del funcionamiento de las FFMM y la Policía Nacional, ello no significa que sea absoluta y carente de reflexión. En este sentido, la Corte Constitucional ha manifestado lo siguiente: </w:t>
      </w:r>
    </w:p>
    <w:p w:rsidR="00000000" w:rsidDel="00000000" w:rsidP="00000000" w:rsidRDefault="00000000" w:rsidRPr="00000000" w14:paraId="00000050">
      <w:pPr>
        <w:pageBreakBefore w:val="0"/>
        <w:spacing w:after="240" w:before="240" w:line="259" w:lineRule="auto"/>
        <w:ind w:left="780" w:firstLine="0"/>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 </w:t>
      </w:r>
      <w:r w:rsidDel="00000000" w:rsidR="00000000" w:rsidRPr="00000000">
        <w:rPr>
          <w:rFonts w:ascii="Book Antiqua" w:cs="Book Antiqua" w:eastAsia="Book Antiqua" w:hAnsi="Book Antiqua"/>
          <w:sz w:val="24"/>
          <w:szCs w:val="24"/>
          <w:rtl w:val="0"/>
        </w:rPr>
        <w:t xml:space="preserve">la Corte reiteradamente ha sostenido que es indispensable que dentro de las Fuerzas Militares sea observada una disciplina estricta y se respete el orden jerárquico, por lo cual en principio deben acatarse todas las órdenes impartidas por los superiores, quienes asumirán la responsabilidad correspondiente; empero, este principio de observancia irrestricta de los mandatos no equivale a obediencia ciega o irracional. Es decir, la jurisprudencia ha rechazado como inconstitucional la obediencia absolutamente irreflexiva.</w:t>
      </w:r>
      <w:r w:rsidDel="00000000" w:rsidR="00000000" w:rsidRPr="00000000">
        <w:rPr>
          <w:rFonts w:ascii="Book Antiqua" w:cs="Book Antiqua" w:eastAsia="Book Antiqua" w:hAnsi="Book Antiqua"/>
          <w:sz w:val="24"/>
          <w:szCs w:val="24"/>
          <w:vertAlign w:val="superscript"/>
        </w:rPr>
        <w:footnoteReference w:customMarkFollows="0" w:id="21"/>
      </w:r>
      <w:r w:rsidDel="00000000" w:rsidR="00000000" w:rsidRPr="00000000">
        <w:rPr>
          <w:rFonts w:ascii="Book Antiqua" w:cs="Book Antiqua" w:eastAsia="Book Antiqua" w:hAnsi="Book Antiqua"/>
          <w:sz w:val="24"/>
          <w:szCs w:val="24"/>
          <w:rtl w:val="0"/>
        </w:rPr>
        <w:t xml:space="preserve">”</w:t>
      </w:r>
    </w:p>
    <w:p w:rsidR="00000000" w:rsidDel="00000000" w:rsidP="00000000" w:rsidRDefault="00000000" w:rsidRPr="00000000" w14:paraId="00000051">
      <w:pPr>
        <w:pageBreakBefore w:val="0"/>
        <w:spacing w:after="240" w:before="240" w:line="259" w:lineRule="auto"/>
        <w:ind w:left="0" w:firstLine="0"/>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Por tanto, la obediencia inmersa en las FFMM y la Policía Nacional no implica la observancia absoluta e irracional de las órdenes impartidas. Los subalternos tienen el deber y el derecho de hacer un ejercicio reflexivo sobre las órdenes que reciben y, si es el caso, desconocer aquellas ilegítimas. De tal modo, el Alto Tribunal ha mencionado que:</w:t>
      </w:r>
      <w:r w:rsidDel="00000000" w:rsidR="00000000" w:rsidRPr="00000000">
        <w:rPr>
          <w:rtl w:val="0"/>
        </w:rPr>
      </w:r>
    </w:p>
    <w:p w:rsidR="00000000" w:rsidDel="00000000" w:rsidP="00000000" w:rsidRDefault="00000000" w:rsidRPr="00000000" w14:paraId="00000052">
      <w:pPr>
        <w:pageBreakBefore w:val="0"/>
        <w:spacing w:after="240" w:before="240" w:line="259" w:lineRule="auto"/>
        <w:ind w:left="780" w:firstLine="0"/>
        <w:jc w:val="both"/>
        <w:rPr>
          <w:rFonts w:ascii="Book Antiqua" w:cs="Book Antiqua" w:eastAsia="Book Antiqua" w:hAnsi="Book Antiqua"/>
          <w:sz w:val="24"/>
          <w:szCs w:val="24"/>
          <w:highlight w:val="white"/>
        </w:rPr>
      </w:pPr>
      <w:r w:rsidDel="00000000" w:rsidR="00000000" w:rsidRPr="00000000">
        <w:rPr>
          <w:rFonts w:ascii="Book Antiqua" w:cs="Book Antiqua" w:eastAsia="Book Antiqua" w:hAnsi="Book Antiqua"/>
          <w:sz w:val="24"/>
          <w:szCs w:val="24"/>
          <w:highlight w:val="white"/>
          <w:rtl w:val="0"/>
        </w:rPr>
        <w:t xml:space="preserve">“... el principio constitucional de obediencia debida (Art. 91, CP) no implica un principio de obediencia ciega. Las personas que hacen parte de las Fuerzas Militares </w:t>
      </w:r>
      <w:r w:rsidDel="00000000" w:rsidR="00000000" w:rsidRPr="00000000">
        <w:rPr>
          <w:rFonts w:ascii="Book Antiqua" w:cs="Book Antiqua" w:eastAsia="Book Antiqua" w:hAnsi="Book Antiqua"/>
          <w:b w:val="1"/>
          <w:sz w:val="24"/>
          <w:szCs w:val="24"/>
          <w:highlight w:val="white"/>
          <w:rtl w:val="0"/>
        </w:rPr>
        <w:t xml:space="preserve">no están obligadas a obedecer una orden que implique una violación a los derechos humanos, una infracción al derecho internacional humanitario -DIH-, o al derecho internacional de los derechos humanos,</w:t>
      </w:r>
      <w:r w:rsidDel="00000000" w:rsidR="00000000" w:rsidRPr="00000000">
        <w:rPr>
          <w:rFonts w:ascii="Book Antiqua" w:cs="Book Antiqua" w:eastAsia="Book Antiqua" w:hAnsi="Book Antiqua"/>
          <w:sz w:val="24"/>
          <w:szCs w:val="24"/>
          <w:highlight w:val="white"/>
          <w:rtl w:val="0"/>
        </w:rPr>
        <w:t xml:space="preserve"> pues, en estricto sentido, bajo el orden constitucional vigente esa no puede ser una orden militar legítima</w:t>
      </w:r>
      <w:r w:rsidDel="00000000" w:rsidR="00000000" w:rsidRPr="00000000">
        <w:rPr>
          <w:rFonts w:ascii="Book Antiqua" w:cs="Book Antiqua" w:eastAsia="Book Antiqua" w:hAnsi="Book Antiqua"/>
          <w:sz w:val="24"/>
          <w:szCs w:val="24"/>
          <w:highlight w:val="white"/>
          <w:vertAlign w:val="superscript"/>
        </w:rPr>
        <w:footnoteReference w:customMarkFollows="0" w:id="22"/>
      </w:r>
      <w:r w:rsidDel="00000000" w:rsidR="00000000" w:rsidRPr="00000000">
        <w:rPr>
          <w:rFonts w:ascii="Book Antiqua" w:cs="Book Antiqua" w:eastAsia="Book Antiqua" w:hAnsi="Book Antiqua"/>
          <w:sz w:val="24"/>
          <w:szCs w:val="24"/>
          <w:highlight w:val="white"/>
          <w:rtl w:val="0"/>
        </w:rPr>
        <w:t xml:space="preserve"> (Negrilla fuera de original).”</w:t>
      </w:r>
    </w:p>
    <w:p w:rsidR="00000000" w:rsidDel="00000000" w:rsidP="00000000" w:rsidRDefault="00000000" w:rsidRPr="00000000" w14:paraId="00000053">
      <w:pPr>
        <w:pageBreakBefore w:val="0"/>
        <w:spacing w:after="160" w:line="259" w:lineRule="auto"/>
        <w:ind w:left="0" w:firstLine="0"/>
        <w:jc w:val="both"/>
        <w:rPr>
          <w:rFonts w:ascii="Book Antiqua" w:cs="Book Antiqua" w:eastAsia="Book Antiqua" w:hAnsi="Book Antiqua"/>
          <w:b w:val="1"/>
          <w:sz w:val="24"/>
          <w:szCs w:val="24"/>
        </w:rPr>
      </w:pPr>
      <w:r w:rsidDel="00000000" w:rsidR="00000000" w:rsidRPr="00000000">
        <w:rPr>
          <w:rFonts w:ascii="Book Antiqua" w:cs="Book Antiqua" w:eastAsia="Book Antiqua" w:hAnsi="Book Antiqua"/>
          <w:sz w:val="24"/>
          <w:szCs w:val="24"/>
          <w:highlight w:val="white"/>
          <w:rtl w:val="0"/>
        </w:rPr>
        <w:t xml:space="preserve">En el caso particular, la orden dirigida a cometer tortura, desaparición forzada de personas u otro crimen de lesa humanidad, resulta en la violación de los tratados internacionales ratificados por Colombia, el derecho internacional de los derechos humanos, la Constitución y la ley según lo expuesto en el acapite sobre crimenes de lesa humanidad. Así, se torna en inconstitucional e inconvencional. Por lo tanto, se trata de una orden ilegítima que no debe ser acatada por la persona que la recibe.</w:t>
      </w:r>
      <w:r w:rsidDel="00000000" w:rsidR="00000000" w:rsidRPr="00000000">
        <w:rPr>
          <w:rtl w:val="0"/>
        </w:rPr>
      </w:r>
    </w:p>
    <w:p w:rsidR="00000000" w:rsidDel="00000000" w:rsidP="00000000" w:rsidRDefault="00000000" w:rsidRPr="00000000" w14:paraId="00000054">
      <w:pPr>
        <w:pageBreakBefore w:val="0"/>
        <w:numPr>
          <w:ilvl w:val="0"/>
          <w:numId w:val="2"/>
        </w:numPr>
        <w:spacing w:after="160" w:line="259" w:lineRule="auto"/>
        <w:ind w:left="720" w:hanging="360"/>
        <w:jc w:val="both"/>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¿Por qué no se está incurriendo en faltas disciplinarias o en delitos?</w:t>
      </w:r>
    </w:p>
    <w:p w:rsidR="00000000" w:rsidDel="00000000" w:rsidP="00000000" w:rsidRDefault="00000000" w:rsidRPr="00000000" w14:paraId="00000055">
      <w:pPr>
        <w:pageBreakBefore w:val="0"/>
        <w:spacing w:after="160" w:line="259" w:lineRule="auto"/>
        <w:ind w:left="0" w:firstLine="0"/>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Ahora bien, es posible que a raíz de la negativa a acatar la orden dirigida a perpetrar crimenes de les humanidad como la tortura y la desaparición forzada de personas, se impongan faltas disciplinarias o se imputen delitos. No obstante, en el presente acápite se abordan las posibles faltas, sanciones o delitos que pueden ser endilgados  y se plantean las razones por las cuales ello es erróneo.  </w:t>
      </w:r>
    </w:p>
    <w:p w:rsidR="00000000" w:rsidDel="00000000" w:rsidP="00000000" w:rsidRDefault="00000000" w:rsidRPr="00000000" w14:paraId="00000056">
      <w:pPr>
        <w:pageBreakBefore w:val="0"/>
        <w:spacing w:after="160" w:line="259" w:lineRule="auto"/>
        <w:ind w:left="0" w:firstLine="0"/>
        <w:jc w:val="both"/>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5.1. Delitos contemplados en la jurisdicción penal militar.</w:t>
      </w:r>
    </w:p>
    <w:p w:rsidR="00000000" w:rsidDel="00000000" w:rsidP="00000000" w:rsidRDefault="00000000" w:rsidRPr="00000000" w14:paraId="00000057">
      <w:pPr>
        <w:pageBreakBefore w:val="0"/>
        <w:numPr>
          <w:ilvl w:val="0"/>
          <w:numId w:val="4"/>
        </w:numPr>
        <w:spacing w:after="160" w:line="259" w:lineRule="auto"/>
        <w:ind w:left="720" w:hanging="360"/>
        <w:jc w:val="both"/>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Insubordinación.</w:t>
      </w:r>
    </w:p>
    <w:p w:rsidR="00000000" w:rsidDel="00000000" w:rsidP="00000000" w:rsidRDefault="00000000" w:rsidRPr="00000000" w14:paraId="00000058">
      <w:pPr>
        <w:pageBreakBefore w:val="0"/>
        <w:spacing w:after="160" w:line="259" w:lineRule="auto"/>
        <w:ind w:left="720" w:firstLine="0"/>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El delito de insubordinación se encuentra contemplado en el artículo 93 del Código Penal Militar y dispone que: </w:t>
      </w:r>
    </w:p>
    <w:p w:rsidR="00000000" w:rsidDel="00000000" w:rsidP="00000000" w:rsidRDefault="00000000" w:rsidRPr="00000000" w14:paraId="00000059">
      <w:pPr>
        <w:pageBreakBefore w:val="0"/>
        <w:spacing w:after="280" w:before="280" w:line="259" w:lineRule="auto"/>
        <w:ind w:left="1080" w:firstLine="0"/>
        <w:jc w:val="both"/>
        <w:rPr>
          <w:rFonts w:ascii="Book Antiqua" w:cs="Book Antiqua" w:eastAsia="Book Antiqua" w:hAnsi="Book Antiqua"/>
          <w:b w:val="1"/>
          <w:sz w:val="24"/>
          <w:szCs w:val="24"/>
        </w:rPr>
      </w:pPr>
      <w:r w:rsidDel="00000000" w:rsidR="00000000" w:rsidRPr="00000000">
        <w:rPr>
          <w:rFonts w:ascii="Book Antiqua" w:cs="Book Antiqua" w:eastAsia="Book Antiqua" w:hAnsi="Book Antiqua"/>
          <w:sz w:val="24"/>
          <w:szCs w:val="24"/>
          <w:rtl w:val="0"/>
        </w:rPr>
        <w:t xml:space="preserve">“El que mediante actitudes violentas en relación con </w:t>
      </w:r>
      <w:r w:rsidDel="00000000" w:rsidR="00000000" w:rsidRPr="00000000">
        <w:rPr>
          <w:rFonts w:ascii="Book Antiqua" w:cs="Book Antiqua" w:eastAsia="Book Antiqua" w:hAnsi="Book Antiqua"/>
          <w:b w:val="1"/>
          <w:sz w:val="24"/>
          <w:szCs w:val="24"/>
          <w:u w:val="single"/>
          <w:rtl w:val="0"/>
        </w:rPr>
        <w:t xml:space="preserve">orden legítima</w:t>
      </w:r>
      <w:r w:rsidDel="00000000" w:rsidR="00000000" w:rsidRPr="00000000">
        <w:rPr>
          <w:rFonts w:ascii="Book Antiqua" w:cs="Book Antiqua" w:eastAsia="Book Antiqua" w:hAnsi="Book Antiqua"/>
          <w:sz w:val="24"/>
          <w:szCs w:val="24"/>
          <w:rtl w:val="0"/>
        </w:rPr>
        <w:t xml:space="preserve"> del servicio emitida con las formalidades legales, </w:t>
      </w:r>
      <w:r w:rsidDel="00000000" w:rsidR="00000000" w:rsidRPr="00000000">
        <w:rPr>
          <w:rFonts w:ascii="Book Antiqua" w:cs="Book Antiqua" w:eastAsia="Book Antiqua" w:hAnsi="Book Antiqua"/>
          <w:sz w:val="24"/>
          <w:szCs w:val="24"/>
          <w:rtl w:val="0"/>
        </w:rPr>
        <w:t xml:space="preserve">la rechace, impida que otro la cumpla, o que el superior la imparta</w:t>
      </w:r>
      <w:r w:rsidDel="00000000" w:rsidR="00000000" w:rsidRPr="00000000">
        <w:rPr>
          <w:rFonts w:ascii="Book Antiqua" w:cs="Book Antiqua" w:eastAsia="Book Antiqua" w:hAnsi="Book Antiqua"/>
          <w:sz w:val="24"/>
          <w:szCs w:val="24"/>
          <w:rtl w:val="0"/>
        </w:rPr>
        <w:t xml:space="preserve">, o lo obligue a impartirla, incurrirá en prisión de tres (3) a seis (6) años</w:t>
      </w:r>
      <w:r w:rsidDel="00000000" w:rsidR="00000000" w:rsidRPr="00000000">
        <w:rPr>
          <w:rFonts w:ascii="Book Antiqua" w:cs="Book Antiqua" w:eastAsia="Book Antiqua" w:hAnsi="Book Antiqua"/>
          <w:sz w:val="24"/>
          <w:szCs w:val="24"/>
          <w:vertAlign w:val="superscript"/>
        </w:rPr>
        <w:footnoteReference w:customMarkFollows="0" w:id="23"/>
      </w:r>
      <w:r w:rsidDel="00000000" w:rsidR="00000000" w:rsidRPr="00000000">
        <w:rPr>
          <w:rFonts w:ascii="Book Antiqua" w:cs="Book Antiqua" w:eastAsia="Book Antiqua" w:hAnsi="Book Antiqua"/>
          <w:sz w:val="24"/>
          <w:szCs w:val="24"/>
          <w:rtl w:val="0"/>
        </w:rPr>
        <w:t xml:space="preserve"> (Negrilla fuera de original).”</w:t>
      </w:r>
      <w:r w:rsidDel="00000000" w:rsidR="00000000" w:rsidRPr="00000000">
        <w:rPr>
          <w:rtl w:val="0"/>
        </w:rPr>
      </w:r>
    </w:p>
    <w:p w:rsidR="00000000" w:rsidDel="00000000" w:rsidP="00000000" w:rsidRDefault="00000000" w:rsidRPr="00000000" w14:paraId="0000005A">
      <w:pPr>
        <w:pageBreakBefore w:val="0"/>
        <w:numPr>
          <w:ilvl w:val="0"/>
          <w:numId w:val="4"/>
        </w:numPr>
        <w:spacing w:after="160" w:line="259" w:lineRule="auto"/>
        <w:ind w:left="720" w:hanging="360"/>
        <w:jc w:val="both"/>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Desobediencia.</w:t>
      </w:r>
    </w:p>
    <w:p w:rsidR="00000000" w:rsidDel="00000000" w:rsidP="00000000" w:rsidRDefault="00000000" w:rsidRPr="00000000" w14:paraId="0000005B">
      <w:pPr>
        <w:pageBreakBefore w:val="0"/>
        <w:spacing w:after="160" w:line="259" w:lineRule="auto"/>
        <w:ind w:left="720" w:firstLine="0"/>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De la misma manera, el artículo 96 de la misma Ley ha consagrado el delito de desobediencia de la siguiente manera:</w:t>
      </w:r>
    </w:p>
    <w:p w:rsidR="00000000" w:rsidDel="00000000" w:rsidP="00000000" w:rsidRDefault="00000000" w:rsidRPr="00000000" w14:paraId="0000005C">
      <w:pPr>
        <w:pageBreakBefore w:val="0"/>
        <w:spacing w:after="160" w:line="259" w:lineRule="auto"/>
        <w:ind w:left="1440" w:firstLine="0"/>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“El que incumpla o modifique una </w:t>
      </w:r>
      <w:r w:rsidDel="00000000" w:rsidR="00000000" w:rsidRPr="00000000">
        <w:rPr>
          <w:rFonts w:ascii="Book Antiqua" w:cs="Book Antiqua" w:eastAsia="Book Antiqua" w:hAnsi="Book Antiqua"/>
          <w:b w:val="1"/>
          <w:sz w:val="24"/>
          <w:szCs w:val="24"/>
          <w:u w:val="single"/>
          <w:rtl w:val="0"/>
        </w:rPr>
        <w:t xml:space="preserve">orden legítima</w:t>
      </w:r>
      <w:r w:rsidDel="00000000" w:rsidR="00000000" w:rsidRPr="00000000">
        <w:rPr>
          <w:rFonts w:ascii="Book Antiqua" w:cs="Book Antiqua" w:eastAsia="Book Antiqua" w:hAnsi="Book Antiqua"/>
          <w:sz w:val="24"/>
          <w:szCs w:val="24"/>
          <w:rtl w:val="0"/>
        </w:rPr>
        <w:t xml:space="preserve"> del servicio impartida por su respectivo superior de acuerdo con las formalidades legales, incurrirá en prisión de dos (2) a tres (3) años</w:t>
      </w:r>
      <w:r w:rsidDel="00000000" w:rsidR="00000000" w:rsidRPr="00000000">
        <w:rPr>
          <w:rFonts w:ascii="Book Antiqua" w:cs="Book Antiqua" w:eastAsia="Book Antiqua" w:hAnsi="Book Antiqua"/>
          <w:sz w:val="24"/>
          <w:szCs w:val="24"/>
          <w:vertAlign w:val="superscript"/>
        </w:rPr>
        <w:footnoteReference w:customMarkFollows="0" w:id="24"/>
      </w:r>
      <w:r w:rsidDel="00000000" w:rsidR="00000000" w:rsidRPr="00000000">
        <w:rPr>
          <w:rFonts w:ascii="Book Antiqua" w:cs="Book Antiqua" w:eastAsia="Book Antiqua" w:hAnsi="Book Antiqua"/>
          <w:sz w:val="24"/>
          <w:szCs w:val="24"/>
          <w:rtl w:val="0"/>
        </w:rPr>
        <w:t xml:space="preserve"> (Negrilla fuera de original).”</w:t>
      </w:r>
    </w:p>
    <w:p w:rsidR="00000000" w:rsidDel="00000000" w:rsidP="00000000" w:rsidRDefault="00000000" w:rsidRPr="00000000" w14:paraId="0000005D">
      <w:pPr>
        <w:pageBreakBefore w:val="0"/>
        <w:spacing w:after="160" w:line="259" w:lineRule="auto"/>
        <w:ind w:left="0" w:firstLine="0"/>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Tanto en el caso del delito de insubordinación, como en el caso del delito de desobediencia, el tipo penal supone que la orden incumplida o rechazada sea una orden ilegítima. Así, como se mencionó en el acápite respectivo, una orden ilegítima es aquella que: “...excede los límites de la competencia o conduce manifiestamente a la violación de la Constitución Política, la ley, las normas institucionales o las órdenes legítimas superiores.</w:t>
      </w:r>
      <w:r w:rsidDel="00000000" w:rsidR="00000000" w:rsidRPr="00000000">
        <w:rPr>
          <w:rFonts w:ascii="Book Antiqua" w:cs="Book Antiqua" w:eastAsia="Book Antiqua" w:hAnsi="Book Antiqua"/>
          <w:sz w:val="24"/>
          <w:szCs w:val="24"/>
          <w:vertAlign w:val="superscript"/>
        </w:rPr>
        <w:footnoteReference w:customMarkFollows="0" w:id="25"/>
      </w:r>
      <w:r w:rsidDel="00000000" w:rsidR="00000000" w:rsidRPr="00000000">
        <w:rPr>
          <w:rFonts w:ascii="Book Antiqua" w:cs="Book Antiqua" w:eastAsia="Book Antiqua" w:hAnsi="Book Antiqua"/>
          <w:sz w:val="24"/>
          <w:szCs w:val="24"/>
          <w:rtl w:val="0"/>
        </w:rPr>
        <w:t xml:space="preserve">”</w:t>
      </w:r>
    </w:p>
    <w:p w:rsidR="00000000" w:rsidDel="00000000" w:rsidP="00000000" w:rsidRDefault="00000000" w:rsidRPr="00000000" w14:paraId="0000005E">
      <w:pPr>
        <w:pageBreakBefore w:val="0"/>
        <w:spacing w:after="160" w:line="259" w:lineRule="auto"/>
        <w:ind w:left="0" w:firstLine="0"/>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De modo que, no se configura la conducta de estos delitos cuando se trata de una orden que viola la Constitución y la ley. Así, teniendo en cuenta que, como se mencionó, la orden que conlleva la comisión de un crimen de lesa humanidad viola la Ley, la Constitución y los tratados internacionales contenidos en el bloque, es una orden ilegítima. Por tanto, no es posible imputar los delitos de insubordinación o desobediencia respectivamente. </w:t>
      </w:r>
    </w:p>
    <w:p w:rsidR="00000000" w:rsidDel="00000000" w:rsidP="00000000" w:rsidRDefault="00000000" w:rsidRPr="00000000" w14:paraId="0000005F">
      <w:pPr>
        <w:pageBreakBefore w:val="0"/>
        <w:spacing w:after="160" w:line="259" w:lineRule="auto"/>
        <w:ind w:left="0" w:firstLine="0"/>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En este punto, cabe recordar que, en aplicación del principio pro homine se debe realizar la actuación que más favorezca la dignidad humana y los derechos humanos y fundamentales. De modo que, cualquier orden tendiente a afectar sin justificación válida los derechos humanos, resulta una orden ilegítima y, en consecuencia, no debe ser acatada por el subalterno. </w:t>
      </w:r>
    </w:p>
    <w:p w:rsidR="00000000" w:rsidDel="00000000" w:rsidP="00000000" w:rsidRDefault="00000000" w:rsidRPr="00000000" w14:paraId="00000060">
      <w:pPr>
        <w:pageBreakBefore w:val="0"/>
        <w:spacing w:after="160" w:line="259" w:lineRule="auto"/>
        <w:ind w:left="0" w:firstLine="0"/>
        <w:jc w:val="both"/>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5.2. Faltas disciplinarias.</w:t>
      </w:r>
    </w:p>
    <w:p w:rsidR="00000000" w:rsidDel="00000000" w:rsidP="00000000" w:rsidRDefault="00000000" w:rsidRPr="00000000" w14:paraId="00000061">
      <w:pPr>
        <w:pageBreakBefore w:val="0"/>
        <w:numPr>
          <w:ilvl w:val="0"/>
          <w:numId w:val="5"/>
        </w:numPr>
        <w:spacing w:after="160" w:line="259" w:lineRule="auto"/>
        <w:ind w:left="720" w:hanging="360"/>
        <w:jc w:val="both"/>
        <w:rPr>
          <w:rFonts w:ascii="Book Antiqua" w:cs="Book Antiqua" w:eastAsia="Book Antiqua" w:hAnsi="Book Antiqua"/>
          <w:b w:val="1"/>
          <w:sz w:val="24"/>
          <w:szCs w:val="24"/>
          <w:u w:val="none"/>
        </w:rPr>
      </w:pPr>
      <w:r w:rsidDel="00000000" w:rsidR="00000000" w:rsidRPr="00000000">
        <w:rPr>
          <w:rFonts w:ascii="Book Antiqua" w:cs="Book Antiqua" w:eastAsia="Book Antiqua" w:hAnsi="Book Antiqua"/>
          <w:b w:val="1"/>
          <w:sz w:val="24"/>
          <w:szCs w:val="24"/>
          <w:rtl w:val="0"/>
        </w:rPr>
        <w:t xml:space="preserve">Faltas contempladas en el Código Único Disciplinario.</w:t>
      </w:r>
    </w:p>
    <w:p w:rsidR="00000000" w:rsidDel="00000000" w:rsidP="00000000" w:rsidRDefault="00000000" w:rsidRPr="00000000" w14:paraId="00000062">
      <w:pPr>
        <w:pageBreakBefore w:val="0"/>
        <w:spacing w:after="160" w:line="259" w:lineRule="auto"/>
        <w:ind w:left="0" w:firstLine="0"/>
        <w:jc w:val="both"/>
        <w:rPr>
          <w:rFonts w:ascii="Book Antiqua" w:cs="Book Antiqua" w:eastAsia="Book Antiqua" w:hAnsi="Book Antiqua"/>
          <w:b w:val="1"/>
          <w:sz w:val="24"/>
          <w:szCs w:val="24"/>
          <w:u w:val="single"/>
        </w:rPr>
      </w:pPr>
      <w:r w:rsidDel="00000000" w:rsidR="00000000" w:rsidRPr="00000000">
        <w:rPr>
          <w:rFonts w:ascii="Book Antiqua" w:cs="Book Antiqua" w:eastAsia="Book Antiqua" w:hAnsi="Book Antiqua"/>
          <w:sz w:val="24"/>
          <w:szCs w:val="24"/>
          <w:rtl w:val="0"/>
        </w:rPr>
        <w:t xml:space="preserve">El Código Único Disciplinario aplicable a todos los funcionarios públicos consagra una serie de faltas leves, graves y gravísimas conectadas con las respectivas sanciones aplicables. Dentro de las faltas gravísimas, consagradas en su artículo 29, se encuentra en el numeral 55 </w:t>
      </w:r>
      <w:r w:rsidDel="00000000" w:rsidR="00000000" w:rsidRPr="00000000">
        <w:rPr>
          <w:rFonts w:ascii="Book Antiqua" w:cs="Book Antiqua" w:eastAsia="Book Antiqua" w:hAnsi="Book Antiqua"/>
          <w:b w:val="1"/>
          <w:sz w:val="24"/>
          <w:szCs w:val="24"/>
          <w:u w:val="single"/>
          <w:rtl w:val="0"/>
        </w:rPr>
        <w:t xml:space="preserve">el abandono injustificado del cargo, función o servicio. </w:t>
      </w:r>
      <w:r w:rsidDel="00000000" w:rsidR="00000000" w:rsidRPr="00000000">
        <w:rPr>
          <w:rFonts w:ascii="Book Antiqua" w:cs="Book Antiqua" w:eastAsia="Book Antiqua" w:hAnsi="Book Antiqua"/>
          <w:sz w:val="24"/>
          <w:szCs w:val="24"/>
          <w:rtl w:val="0"/>
        </w:rPr>
        <w:t xml:space="preserve">Del mismo modo, en el artículo 50 de la mencionada Ley se contemplan las faltas leves y graves. Dentro de estas, se encuentra e</w:t>
      </w:r>
      <w:r w:rsidDel="00000000" w:rsidR="00000000" w:rsidRPr="00000000">
        <w:rPr>
          <w:rFonts w:ascii="Book Antiqua" w:cs="Book Antiqua" w:eastAsia="Book Antiqua" w:hAnsi="Book Antiqua"/>
          <w:b w:val="1"/>
          <w:sz w:val="24"/>
          <w:szCs w:val="24"/>
          <w:u w:val="single"/>
          <w:rtl w:val="0"/>
        </w:rPr>
        <w:t xml:space="preserve">l incumplimiento de los deberes del funcionario.</w:t>
      </w:r>
    </w:p>
    <w:p w:rsidR="00000000" w:rsidDel="00000000" w:rsidP="00000000" w:rsidRDefault="00000000" w:rsidRPr="00000000" w14:paraId="00000063">
      <w:pPr>
        <w:pageBreakBefore w:val="0"/>
        <w:numPr>
          <w:ilvl w:val="0"/>
          <w:numId w:val="5"/>
        </w:numPr>
        <w:spacing w:after="160" w:line="259" w:lineRule="auto"/>
        <w:ind w:left="720" w:hanging="360"/>
        <w:jc w:val="both"/>
        <w:rPr>
          <w:rFonts w:ascii="Book Antiqua" w:cs="Book Antiqua" w:eastAsia="Book Antiqua" w:hAnsi="Book Antiqua"/>
          <w:b w:val="1"/>
          <w:sz w:val="24"/>
          <w:szCs w:val="24"/>
          <w:u w:val="none"/>
        </w:rPr>
      </w:pPr>
      <w:r w:rsidDel="00000000" w:rsidR="00000000" w:rsidRPr="00000000">
        <w:rPr>
          <w:rFonts w:ascii="Book Antiqua" w:cs="Book Antiqua" w:eastAsia="Book Antiqua" w:hAnsi="Book Antiqua"/>
          <w:b w:val="1"/>
          <w:sz w:val="24"/>
          <w:szCs w:val="24"/>
          <w:rtl w:val="0"/>
        </w:rPr>
        <w:t xml:space="preserve">Faltas contempladas en el Régimen Disciplinario de la Policía Nacional. </w:t>
      </w:r>
    </w:p>
    <w:p w:rsidR="00000000" w:rsidDel="00000000" w:rsidP="00000000" w:rsidRDefault="00000000" w:rsidRPr="00000000" w14:paraId="00000064">
      <w:pPr>
        <w:pageBreakBefore w:val="0"/>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La Ley 1015 de 2016 que contempla el Régimen Disciplinario de la Policía Nacional, a su vez consagra el sistema de faltas leves, graves y gravísimas específicas para los miembros de la Policía. Entre las faltas graves consagradas en el artículo 35 se encuentran las siguientes: </w:t>
      </w:r>
    </w:p>
    <w:p w:rsidR="00000000" w:rsidDel="00000000" w:rsidP="00000000" w:rsidRDefault="00000000" w:rsidRPr="00000000" w14:paraId="00000065">
      <w:pPr>
        <w:pageBreakBefore w:val="0"/>
        <w:spacing w:after="240" w:before="240" w:lineRule="auto"/>
        <w:ind w:left="720" w:firstLine="0"/>
        <w:jc w:val="both"/>
        <w:rPr>
          <w:rFonts w:ascii="Book Antiqua" w:cs="Book Antiqua" w:eastAsia="Book Antiqua" w:hAnsi="Book Antiqua"/>
          <w:sz w:val="24"/>
          <w:szCs w:val="24"/>
          <w:highlight w:val="white"/>
        </w:rPr>
      </w:pPr>
      <w:r w:rsidDel="00000000" w:rsidR="00000000" w:rsidRPr="00000000">
        <w:rPr>
          <w:rFonts w:ascii="Book Antiqua" w:cs="Book Antiqua" w:eastAsia="Book Antiqua" w:hAnsi="Book Antiqua"/>
          <w:sz w:val="24"/>
          <w:szCs w:val="24"/>
          <w:highlight w:val="white"/>
          <w:rtl w:val="0"/>
        </w:rPr>
        <w:t xml:space="preserve">“</w:t>
      </w:r>
      <w:r w:rsidDel="00000000" w:rsidR="00000000" w:rsidRPr="00000000">
        <w:rPr>
          <w:rFonts w:ascii="Book Antiqua" w:cs="Book Antiqua" w:eastAsia="Book Antiqua" w:hAnsi="Book Antiqua"/>
          <w:sz w:val="24"/>
          <w:szCs w:val="24"/>
          <w:highlight w:val="white"/>
          <w:rtl w:val="0"/>
        </w:rPr>
        <w:t xml:space="preserve">10. Incumplir, modificar, desautorizar, eludir, ejecutar con negligencia o tardanza, o introducir cambios, sin causa justificada, </w:t>
      </w:r>
      <w:r w:rsidDel="00000000" w:rsidR="00000000" w:rsidRPr="00000000">
        <w:rPr>
          <w:rFonts w:ascii="Book Antiqua" w:cs="Book Antiqua" w:eastAsia="Book Antiqua" w:hAnsi="Book Antiqua"/>
          <w:b w:val="1"/>
          <w:sz w:val="24"/>
          <w:szCs w:val="24"/>
          <w:highlight w:val="white"/>
          <w:u w:val="single"/>
          <w:rtl w:val="0"/>
        </w:rPr>
        <w:t xml:space="preserve">a las órdenes o instrucciones relativas al servicio</w:t>
      </w:r>
      <w:r w:rsidDel="00000000" w:rsidR="00000000" w:rsidRPr="00000000">
        <w:rPr>
          <w:rFonts w:ascii="Book Antiqua" w:cs="Book Antiqua" w:eastAsia="Book Antiqua" w:hAnsi="Book Antiqua"/>
          <w:sz w:val="24"/>
          <w:szCs w:val="24"/>
          <w:highlight w:val="white"/>
          <w:rtl w:val="0"/>
        </w:rPr>
        <w:t xml:space="preserve"> (Negrilla fuera de original).</w:t>
      </w:r>
      <w:r w:rsidDel="00000000" w:rsidR="00000000" w:rsidRPr="00000000">
        <w:rPr>
          <w:rFonts w:ascii="Book Antiqua" w:cs="Book Antiqua" w:eastAsia="Book Antiqua" w:hAnsi="Book Antiqua"/>
          <w:sz w:val="24"/>
          <w:szCs w:val="24"/>
          <w:highlight w:val="white"/>
          <w:vertAlign w:val="superscript"/>
        </w:rPr>
        <w:footnoteReference w:customMarkFollows="0" w:id="26"/>
      </w:r>
      <w:r w:rsidDel="00000000" w:rsidR="00000000" w:rsidRPr="00000000">
        <w:rPr>
          <w:rFonts w:ascii="Book Antiqua" w:cs="Book Antiqua" w:eastAsia="Book Antiqua" w:hAnsi="Book Antiqua"/>
          <w:sz w:val="24"/>
          <w:szCs w:val="24"/>
          <w:highlight w:val="white"/>
          <w:rtl w:val="0"/>
        </w:rPr>
        <w:t xml:space="preserve">”</w:t>
      </w:r>
    </w:p>
    <w:p w:rsidR="00000000" w:rsidDel="00000000" w:rsidP="00000000" w:rsidRDefault="00000000" w:rsidRPr="00000000" w14:paraId="00000066">
      <w:pPr>
        <w:pageBreakBefore w:val="0"/>
        <w:spacing w:after="240" w:before="240" w:lineRule="auto"/>
        <w:ind w:left="0" w:firstLine="0"/>
        <w:jc w:val="both"/>
        <w:rPr>
          <w:rFonts w:ascii="Book Antiqua" w:cs="Book Antiqua" w:eastAsia="Book Antiqua" w:hAnsi="Book Antiqua"/>
          <w:sz w:val="24"/>
          <w:szCs w:val="24"/>
          <w:highlight w:val="white"/>
        </w:rPr>
      </w:pPr>
      <w:r w:rsidDel="00000000" w:rsidR="00000000" w:rsidRPr="00000000">
        <w:rPr>
          <w:rFonts w:ascii="Book Antiqua" w:cs="Book Antiqua" w:eastAsia="Book Antiqua" w:hAnsi="Book Antiqua"/>
          <w:sz w:val="24"/>
          <w:szCs w:val="24"/>
          <w:highlight w:val="white"/>
          <w:rtl w:val="0"/>
        </w:rPr>
        <w:t xml:space="preserve">Sumado a esto, el artículo 36 consagra las faltas leves en las que puede incurrir una persona perteneciente a la Policía. Entre ellas se encuentra:</w:t>
      </w:r>
    </w:p>
    <w:p w:rsidR="00000000" w:rsidDel="00000000" w:rsidP="00000000" w:rsidRDefault="00000000" w:rsidRPr="00000000" w14:paraId="00000067">
      <w:pPr>
        <w:pageBreakBefore w:val="0"/>
        <w:spacing w:after="240" w:before="240" w:lineRule="auto"/>
        <w:ind w:left="720" w:firstLine="0"/>
        <w:jc w:val="both"/>
        <w:rPr>
          <w:rFonts w:ascii="Book Antiqua" w:cs="Book Antiqua" w:eastAsia="Book Antiqua" w:hAnsi="Book Antiqua"/>
          <w:sz w:val="24"/>
          <w:szCs w:val="24"/>
          <w:highlight w:val="white"/>
        </w:rPr>
      </w:pPr>
      <w:r w:rsidDel="00000000" w:rsidR="00000000" w:rsidRPr="00000000">
        <w:rPr>
          <w:rFonts w:ascii="Book Antiqua" w:cs="Book Antiqua" w:eastAsia="Book Antiqua" w:hAnsi="Book Antiqua"/>
          <w:sz w:val="24"/>
          <w:szCs w:val="24"/>
          <w:highlight w:val="white"/>
          <w:rtl w:val="0"/>
        </w:rPr>
        <w:t xml:space="preserve">“3. Asumir actitudes displicentes ante </w:t>
      </w:r>
      <w:r w:rsidDel="00000000" w:rsidR="00000000" w:rsidRPr="00000000">
        <w:rPr>
          <w:rFonts w:ascii="Book Antiqua" w:cs="Book Antiqua" w:eastAsia="Book Antiqua" w:hAnsi="Book Antiqua"/>
          <w:b w:val="1"/>
          <w:sz w:val="24"/>
          <w:szCs w:val="24"/>
          <w:highlight w:val="white"/>
          <w:u w:val="single"/>
          <w:rtl w:val="0"/>
        </w:rPr>
        <w:t xml:space="preserve">una orden, una instrucción,</w:t>
      </w:r>
      <w:r w:rsidDel="00000000" w:rsidR="00000000" w:rsidRPr="00000000">
        <w:rPr>
          <w:rFonts w:ascii="Book Antiqua" w:cs="Book Antiqua" w:eastAsia="Book Antiqua" w:hAnsi="Book Antiqua"/>
          <w:sz w:val="24"/>
          <w:szCs w:val="24"/>
          <w:highlight w:val="white"/>
          <w:rtl w:val="0"/>
        </w:rPr>
        <w:t xml:space="preserve"> un llamado de atención o una sanción</w:t>
      </w:r>
      <w:r w:rsidDel="00000000" w:rsidR="00000000" w:rsidRPr="00000000">
        <w:rPr>
          <w:rFonts w:ascii="Book Antiqua" w:cs="Book Antiqua" w:eastAsia="Book Antiqua" w:hAnsi="Book Antiqua"/>
          <w:sz w:val="24"/>
          <w:szCs w:val="24"/>
          <w:highlight w:val="white"/>
          <w:vertAlign w:val="superscript"/>
        </w:rPr>
        <w:footnoteReference w:customMarkFollows="0" w:id="27"/>
      </w:r>
      <w:r w:rsidDel="00000000" w:rsidR="00000000" w:rsidRPr="00000000">
        <w:rPr>
          <w:rFonts w:ascii="Book Antiqua" w:cs="Book Antiqua" w:eastAsia="Book Antiqua" w:hAnsi="Book Antiqua"/>
          <w:sz w:val="24"/>
          <w:szCs w:val="24"/>
          <w:highlight w:val="white"/>
          <w:rtl w:val="0"/>
        </w:rPr>
        <w:t xml:space="preserve"> (Negrilla fuera de original).”</w:t>
      </w:r>
    </w:p>
    <w:p w:rsidR="00000000" w:rsidDel="00000000" w:rsidP="00000000" w:rsidRDefault="00000000" w:rsidRPr="00000000" w14:paraId="00000068">
      <w:pPr>
        <w:pageBreakBefore w:val="0"/>
        <w:spacing w:after="240" w:before="240" w:lineRule="auto"/>
        <w:ind w:left="0" w:firstLine="0"/>
        <w:jc w:val="both"/>
        <w:rPr>
          <w:rFonts w:ascii="Book Antiqua" w:cs="Book Antiqua" w:eastAsia="Book Antiqua" w:hAnsi="Book Antiqua"/>
          <w:sz w:val="24"/>
          <w:szCs w:val="24"/>
          <w:highlight w:val="white"/>
        </w:rPr>
      </w:pPr>
      <w:r w:rsidDel="00000000" w:rsidR="00000000" w:rsidRPr="00000000">
        <w:rPr>
          <w:rFonts w:ascii="Book Antiqua" w:cs="Book Antiqua" w:eastAsia="Book Antiqua" w:hAnsi="Book Antiqua"/>
          <w:sz w:val="24"/>
          <w:szCs w:val="24"/>
          <w:highlight w:val="white"/>
          <w:rtl w:val="0"/>
        </w:rPr>
        <w:t xml:space="preserve">En principio, podría pensarse que el desacato de la orden impartida por un superior jerárquico puede dar lugar a la comisión de una de las faltas mencionadas y, en consecuencia, se deberá aplicar la sanción prevista. No obstante, es menester resaltar que el supuesto de estas faltas parte de la desobediencia o incumplimiento de una orden legítima. Por lo tanto, es deber de las autoridades estudiar la validez y legitimidad de la orden en controversia. Para tal fin, nuevamente se acudirá a la definición de una orden legítima, es decir, aquella que no excede los límites de competencia del funcionario y no resulta violatoria de la Constitución, la ley, las normas institucionales o las órdenes de mayor jerarquía. </w:t>
      </w:r>
    </w:p>
    <w:p w:rsidR="00000000" w:rsidDel="00000000" w:rsidP="00000000" w:rsidRDefault="00000000" w:rsidRPr="00000000" w14:paraId="00000069">
      <w:pPr>
        <w:pageBreakBefore w:val="0"/>
        <w:spacing w:after="240" w:before="240" w:lineRule="auto"/>
        <w:ind w:left="0" w:firstLine="0"/>
        <w:jc w:val="both"/>
        <w:rPr>
          <w:rFonts w:ascii="Book Antiqua" w:cs="Book Antiqua" w:eastAsia="Book Antiqua" w:hAnsi="Book Antiqua"/>
          <w:sz w:val="24"/>
          <w:szCs w:val="24"/>
          <w:highlight w:val="white"/>
        </w:rPr>
      </w:pPr>
      <w:r w:rsidDel="00000000" w:rsidR="00000000" w:rsidRPr="00000000">
        <w:rPr>
          <w:rFonts w:ascii="Book Antiqua" w:cs="Book Antiqua" w:eastAsia="Book Antiqua" w:hAnsi="Book Antiqua"/>
          <w:sz w:val="24"/>
          <w:szCs w:val="24"/>
          <w:highlight w:val="white"/>
          <w:rtl w:val="0"/>
        </w:rPr>
        <w:t xml:space="preserve">De modo que, no puede predicarse la comisión de una falta disciplinaria si ésta surge del cumplimiento de una orden que </w:t>
      </w:r>
      <w:r w:rsidDel="00000000" w:rsidR="00000000" w:rsidRPr="00000000">
        <w:rPr>
          <w:rFonts w:ascii="Book Antiqua" w:cs="Book Antiqua" w:eastAsia="Book Antiqua" w:hAnsi="Book Antiqua"/>
          <w:i w:val="1"/>
          <w:sz w:val="24"/>
          <w:szCs w:val="24"/>
          <w:highlight w:val="white"/>
          <w:rtl w:val="0"/>
        </w:rPr>
        <w:t xml:space="preserve">per se</w:t>
      </w:r>
      <w:r w:rsidDel="00000000" w:rsidR="00000000" w:rsidRPr="00000000">
        <w:rPr>
          <w:rFonts w:ascii="Book Antiqua" w:cs="Book Antiqua" w:eastAsia="Book Antiqua" w:hAnsi="Book Antiqua"/>
          <w:sz w:val="24"/>
          <w:szCs w:val="24"/>
          <w:highlight w:val="white"/>
          <w:rtl w:val="0"/>
        </w:rPr>
        <w:t xml:space="preserve"> resulta ilegítima y que, por tanto, no obliga a la persona a quien le es impartida a cumplirla. </w:t>
      </w:r>
    </w:p>
    <w:p w:rsidR="00000000" w:rsidDel="00000000" w:rsidP="00000000" w:rsidRDefault="00000000" w:rsidRPr="00000000" w14:paraId="0000006A">
      <w:pPr>
        <w:pageBreakBefore w:val="0"/>
        <w:spacing w:after="240" w:before="240" w:lineRule="auto"/>
        <w:ind w:left="0" w:firstLine="0"/>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highlight w:val="white"/>
          <w:rtl w:val="0"/>
        </w:rPr>
        <w:t xml:space="preserve">En todo caso, no debe perderse de vista que una de las causales de exclusión de responsabilidad consagradas en el artículo 41 del mismo cuerpo normativo y el artículo 33 del Código Penal Militar se refieren a la ausencia de responsabilidad cuando el funcionario actúa “</w:t>
      </w:r>
      <w:r w:rsidDel="00000000" w:rsidR="00000000" w:rsidRPr="00000000">
        <w:rPr>
          <w:rFonts w:ascii="Book Antiqua" w:cs="Book Antiqua" w:eastAsia="Book Antiqua" w:hAnsi="Book Antiqua"/>
          <w:sz w:val="24"/>
          <w:szCs w:val="24"/>
          <w:rtl w:val="0"/>
        </w:rPr>
        <w:t xml:space="preserve">(e)n estricto cumplimiento de un deber Constitucional o Legal</w:t>
      </w:r>
      <w:r w:rsidDel="00000000" w:rsidR="00000000" w:rsidRPr="00000000">
        <w:rPr>
          <w:rFonts w:ascii="Book Antiqua" w:cs="Book Antiqua" w:eastAsia="Book Antiqua" w:hAnsi="Book Antiqua"/>
          <w:sz w:val="24"/>
          <w:szCs w:val="24"/>
          <w:vertAlign w:val="superscript"/>
        </w:rPr>
        <w:footnoteReference w:customMarkFollows="0" w:id="28"/>
      </w:r>
      <w:r w:rsidDel="00000000" w:rsidR="00000000" w:rsidRPr="00000000">
        <w:rPr>
          <w:rFonts w:ascii="Book Antiqua" w:cs="Book Antiqua" w:eastAsia="Book Antiqua" w:hAnsi="Book Antiqua"/>
          <w:sz w:val="24"/>
          <w:szCs w:val="24"/>
          <w:rtl w:val="0"/>
        </w:rPr>
        <w:t xml:space="preserve">.”</w:t>
      </w:r>
    </w:p>
    <w:p w:rsidR="00000000" w:rsidDel="00000000" w:rsidP="00000000" w:rsidRDefault="00000000" w:rsidRPr="00000000" w14:paraId="0000006B">
      <w:pPr>
        <w:pageBreakBefore w:val="0"/>
        <w:spacing w:after="240" w:before="240" w:lineRule="auto"/>
        <w:ind w:left="0" w:firstLine="0"/>
        <w:jc w:val="both"/>
        <w:rPr>
          <w:rFonts w:ascii="Book Antiqua" w:cs="Book Antiqua" w:eastAsia="Book Antiqua" w:hAnsi="Book Antiqua"/>
          <w:sz w:val="24"/>
          <w:szCs w:val="24"/>
          <w:highlight w:val="white"/>
        </w:rPr>
      </w:pPr>
      <w:r w:rsidDel="00000000" w:rsidR="00000000" w:rsidRPr="00000000">
        <w:rPr>
          <w:rFonts w:ascii="Book Antiqua" w:cs="Book Antiqua" w:eastAsia="Book Antiqua" w:hAnsi="Book Antiqua"/>
          <w:sz w:val="24"/>
          <w:szCs w:val="24"/>
          <w:highlight w:val="white"/>
          <w:rtl w:val="0"/>
        </w:rPr>
        <w:t xml:space="preserve">Adicionalmente, es posible afirmar que la negativa o renuencia a cumplir una orden que afecta derechos humanos o derechos constitucionales, es una circunstancia de exclusión de la responsabilidad penal y disciplinaria  y/o un argumento para objetar conciencia y rehusarse a realizarla. De este modo, desacatar una orden de tal naturaleza resulta en el cumplimiento del deber constitucional de protección de los derechos de todas las personas que habitan el territorio nacional. En este caso, se está actuando en garantía de los derechos a la vida, integridad personal, dignidad humana y protesta social. </w:t>
      </w:r>
    </w:p>
    <w:p w:rsidR="00000000" w:rsidDel="00000000" w:rsidP="00000000" w:rsidRDefault="00000000" w:rsidRPr="00000000" w14:paraId="0000006C">
      <w:pPr>
        <w:pageBreakBefore w:val="0"/>
        <w:spacing w:after="240" w:before="240" w:lineRule="auto"/>
        <w:ind w:left="0" w:firstLine="0"/>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highlight w:val="white"/>
          <w:rtl w:val="0"/>
        </w:rPr>
        <w:t xml:space="preserve">En síntesis, teniendo en cuenta la ilegitimidad de la orden impartida, no es posible imputar un delito de la jurisdicción penal militar o una sanción disciplinaria producto de la conducta que se niegue o rehuse a acatar dicha orden. </w:t>
      </w:r>
      <w:r w:rsidDel="00000000" w:rsidR="00000000" w:rsidRPr="00000000">
        <w:rPr>
          <w:rtl w:val="0"/>
        </w:rPr>
      </w:r>
    </w:p>
    <w:p w:rsidR="00000000" w:rsidDel="00000000" w:rsidP="00000000" w:rsidRDefault="00000000" w:rsidRPr="00000000" w14:paraId="0000006D">
      <w:pPr>
        <w:pageBreakBefore w:val="0"/>
        <w:numPr>
          <w:ilvl w:val="0"/>
          <w:numId w:val="1"/>
        </w:numPr>
        <w:ind w:left="720" w:hanging="360"/>
        <w:jc w:val="both"/>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Petición.</w:t>
      </w:r>
    </w:p>
    <w:p w:rsidR="00000000" w:rsidDel="00000000" w:rsidP="00000000" w:rsidRDefault="00000000" w:rsidRPr="00000000" w14:paraId="0000006E">
      <w:pPr>
        <w:pageBreakBefore w:val="0"/>
        <w:ind w:left="720" w:firstLine="0"/>
        <w:jc w:val="both"/>
        <w:rPr>
          <w:rFonts w:ascii="Book Antiqua" w:cs="Book Antiqua" w:eastAsia="Book Antiqua" w:hAnsi="Book Antiqua"/>
          <w:b w:val="1"/>
          <w:sz w:val="24"/>
          <w:szCs w:val="24"/>
        </w:rPr>
      </w:pPr>
      <w:r w:rsidDel="00000000" w:rsidR="00000000" w:rsidRPr="00000000">
        <w:rPr>
          <w:rtl w:val="0"/>
        </w:rPr>
      </w:r>
    </w:p>
    <w:p w:rsidR="00000000" w:rsidDel="00000000" w:rsidP="00000000" w:rsidRDefault="00000000" w:rsidRPr="00000000" w14:paraId="0000006F">
      <w:pPr>
        <w:pageBreakBefore w:val="0"/>
        <w:ind w:left="0" w:firstLine="0"/>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Solicito se</w:t>
      </w:r>
      <w:r w:rsidDel="00000000" w:rsidR="00000000" w:rsidRPr="00000000">
        <w:rPr>
          <w:rFonts w:ascii="Book Antiqua" w:cs="Book Antiqua" w:eastAsia="Book Antiqua" w:hAnsi="Book Antiqua"/>
          <w:sz w:val="24"/>
          <w:szCs w:val="24"/>
          <w:rtl w:val="0"/>
        </w:rPr>
        <w:t xml:space="preserve"> me respete mi derecho a la objeción de conciencia puesto que la mencionada orden es ilegítima y contraria a las normas </w:t>
      </w:r>
      <w:r w:rsidDel="00000000" w:rsidR="00000000" w:rsidRPr="00000000">
        <w:rPr>
          <w:rFonts w:ascii="Book Antiqua" w:cs="Book Antiqua" w:eastAsia="Book Antiqua" w:hAnsi="Book Antiqua"/>
          <w:sz w:val="24"/>
          <w:szCs w:val="24"/>
          <w:rtl w:val="0"/>
        </w:rPr>
        <w:t xml:space="preserve">mencionadas,</w:t>
      </w:r>
      <w:r w:rsidDel="00000000" w:rsidR="00000000" w:rsidRPr="00000000">
        <w:rPr>
          <w:rFonts w:ascii="Book Antiqua" w:cs="Book Antiqua" w:eastAsia="Book Antiqua" w:hAnsi="Book Antiqua"/>
          <w:sz w:val="24"/>
          <w:szCs w:val="24"/>
          <w:rtl w:val="0"/>
        </w:rPr>
        <w:t xml:space="preserve"> por tanto, no debía llevarla a efecto y en razón a esto no se inicie ningún proceso en mi contra por la no ejecución de la misma. </w:t>
      </w:r>
    </w:p>
    <w:p w:rsidR="00000000" w:rsidDel="00000000" w:rsidP="00000000" w:rsidRDefault="00000000" w:rsidRPr="00000000" w14:paraId="00000070">
      <w:pPr>
        <w:pageBreakBefore w:val="0"/>
        <w:ind w:left="0" w:firstLine="0"/>
        <w:jc w:val="both"/>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71">
      <w:pPr>
        <w:pageBreakBefore w:val="0"/>
        <w:numPr>
          <w:ilvl w:val="0"/>
          <w:numId w:val="1"/>
        </w:numPr>
        <w:ind w:left="720" w:hanging="360"/>
        <w:jc w:val="both"/>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Pruebas </w:t>
      </w:r>
    </w:p>
    <w:p w:rsidR="00000000" w:rsidDel="00000000" w:rsidP="00000000" w:rsidRDefault="00000000" w:rsidRPr="00000000" w14:paraId="00000072">
      <w:pPr>
        <w:pageBreakBefore w:val="0"/>
        <w:numPr>
          <w:ilvl w:val="0"/>
          <w:numId w:val="3"/>
        </w:numPr>
        <w:ind w:left="1440" w:hanging="360"/>
        <w:jc w:val="both"/>
        <w:rPr>
          <w:rFonts w:ascii="Book Antiqua" w:cs="Book Antiqua" w:eastAsia="Book Antiqua" w:hAnsi="Book Antiqua"/>
          <w:b w:val="1"/>
          <w:sz w:val="24"/>
          <w:szCs w:val="24"/>
          <w:u w:val="none"/>
        </w:rPr>
      </w:pPr>
      <w:r w:rsidDel="00000000" w:rsidR="00000000" w:rsidRPr="00000000">
        <w:rPr>
          <w:rtl w:val="0"/>
        </w:rPr>
      </w:r>
    </w:p>
    <w:p w:rsidR="00000000" w:rsidDel="00000000" w:rsidP="00000000" w:rsidRDefault="00000000" w:rsidRPr="00000000" w14:paraId="00000073">
      <w:pPr>
        <w:pageBreakBefore w:val="0"/>
        <w:numPr>
          <w:ilvl w:val="0"/>
          <w:numId w:val="1"/>
        </w:numPr>
        <w:ind w:left="720" w:hanging="360"/>
        <w:jc w:val="both"/>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Notificaciones</w:t>
      </w:r>
    </w:p>
    <w:p w:rsidR="00000000" w:rsidDel="00000000" w:rsidP="00000000" w:rsidRDefault="00000000" w:rsidRPr="00000000" w14:paraId="00000074">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Book Antiqua">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75">
      <w:pPr>
        <w:pageBreakBefore w:val="0"/>
        <w:spacing w:line="240" w:lineRule="auto"/>
        <w:rPr>
          <w:rFonts w:ascii="Book Antiqua" w:cs="Book Antiqua" w:eastAsia="Book Antiqua" w:hAnsi="Book Antiqua"/>
          <w:sz w:val="20"/>
          <w:szCs w:val="20"/>
        </w:rPr>
      </w:pPr>
      <w:r w:rsidDel="00000000" w:rsidR="00000000" w:rsidRPr="00000000">
        <w:rPr>
          <w:rStyle w:val="FootnoteReference"/>
          <w:vertAlign w:val="superscript"/>
        </w:rPr>
        <w:footnoteRef/>
      </w:r>
      <w:r w:rsidDel="00000000" w:rsidR="00000000" w:rsidRPr="00000000">
        <w:rPr>
          <w:rFonts w:ascii="Book Antiqua" w:cs="Book Antiqua" w:eastAsia="Book Antiqua" w:hAnsi="Book Antiqua"/>
          <w:sz w:val="20"/>
          <w:szCs w:val="20"/>
          <w:rtl w:val="0"/>
        </w:rPr>
        <w:t xml:space="preserve"> Colombia. Corte Constitucional. Sala Plena. Sentencia SU-018 del 3 de marzo de 2016. M.P. Alberto Rojas Ríos. </w:t>
      </w:r>
    </w:p>
  </w:footnote>
  <w:footnote w:id="7">
    <w:p w:rsidR="00000000" w:rsidDel="00000000" w:rsidP="00000000" w:rsidRDefault="00000000" w:rsidRPr="00000000" w14:paraId="00000076">
      <w:pPr>
        <w:pageBreakBefore w:val="0"/>
        <w:spacing w:line="240" w:lineRule="auto"/>
        <w:jc w:val="both"/>
        <w:rPr>
          <w:sz w:val="20"/>
          <w:szCs w:val="20"/>
        </w:rPr>
      </w:pPr>
      <w:r w:rsidDel="00000000" w:rsidR="00000000" w:rsidRPr="00000000">
        <w:rPr>
          <w:rStyle w:val="FootnoteReference"/>
          <w:vertAlign w:val="superscript"/>
        </w:rPr>
        <w:footnoteRef/>
      </w:r>
      <w:r w:rsidDel="00000000" w:rsidR="00000000" w:rsidRPr="00000000">
        <w:rPr>
          <w:rFonts w:ascii="Book Antiqua" w:cs="Book Antiqua" w:eastAsia="Book Antiqua" w:hAnsi="Book Antiqua"/>
          <w:sz w:val="20"/>
          <w:szCs w:val="20"/>
          <w:rtl w:val="0"/>
        </w:rPr>
        <w:t xml:space="preserve"> Ibidem.</w:t>
      </w:r>
      <w:r w:rsidDel="00000000" w:rsidR="00000000" w:rsidRPr="00000000">
        <w:rPr>
          <w:rtl w:val="0"/>
        </w:rPr>
      </w:r>
    </w:p>
  </w:footnote>
  <w:footnote w:id="6">
    <w:p w:rsidR="00000000" w:rsidDel="00000000" w:rsidP="00000000" w:rsidRDefault="00000000" w:rsidRPr="00000000" w14:paraId="00000077">
      <w:pPr>
        <w:pageBreakBefore w:val="0"/>
        <w:spacing w:line="240" w:lineRule="auto"/>
        <w:jc w:val="both"/>
        <w:rPr>
          <w:rFonts w:ascii="Book Antiqua" w:cs="Book Antiqua" w:eastAsia="Book Antiqua" w:hAnsi="Book Antiqua"/>
          <w:sz w:val="20"/>
          <w:szCs w:val="20"/>
        </w:rPr>
      </w:pPr>
      <w:r w:rsidDel="00000000" w:rsidR="00000000" w:rsidRPr="00000000">
        <w:rPr>
          <w:rStyle w:val="FootnoteReference"/>
          <w:vertAlign w:val="superscript"/>
        </w:rPr>
        <w:footnoteRef/>
      </w:r>
      <w:r w:rsidDel="00000000" w:rsidR="00000000" w:rsidRPr="00000000">
        <w:rPr>
          <w:rFonts w:ascii="Book Antiqua" w:cs="Book Antiqua" w:eastAsia="Book Antiqua" w:hAnsi="Book Antiqua"/>
          <w:sz w:val="20"/>
          <w:szCs w:val="20"/>
          <w:rtl w:val="0"/>
        </w:rPr>
        <w:t xml:space="preserve"> Colombia. Corte Constitucional. Sala Plena. Sentencia C-483 del 10 de julio de 2013. M.P. Alberto Rojas Ríos.</w:t>
      </w:r>
    </w:p>
  </w:footnote>
  <w:footnote w:id="8">
    <w:p w:rsidR="00000000" w:rsidDel="00000000" w:rsidP="00000000" w:rsidRDefault="00000000" w:rsidRPr="00000000" w14:paraId="00000078">
      <w:pPr>
        <w:pageBreakBefore w:val="0"/>
        <w:spacing w:line="240" w:lineRule="auto"/>
        <w:rPr>
          <w:rFonts w:ascii="Book Antiqua" w:cs="Book Antiqua" w:eastAsia="Book Antiqua" w:hAnsi="Book Antiqua"/>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Garamond" w:cs="Garamond" w:eastAsia="Garamond" w:hAnsi="Garamond"/>
          <w:rtl w:val="0"/>
        </w:rPr>
        <w:t xml:space="preserve"> </w:t>
      </w:r>
      <w:r w:rsidDel="00000000" w:rsidR="00000000" w:rsidRPr="00000000">
        <w:rPr>
          <w:rFonts w:ascii="Book Antiqua" w:cs="Book Antiqua" w:eastAsia="Book Antiqua" w:hAnsi="Book Antiqua"/>
          <w:sz w:val="20"/>
          <w:szCs w:val="20"/>
          <w:rtl w:val="0"/>
        </w:rPr>
        <w:t xml:space="preserve">Corte Interamericana de Derechos Humanos. Opinión Consultiva OC 7/86.</w:t>
      </w:r>
      <w:r w:rsidDel="00000000" w:rsidR="00000000" w:rsidRPr="00000000">
        <w:rPr>
          <w:rtl w:val="0"/>
        </w:rPr>
      </w:r>
    </w:p>
  </w:footnote>
  <w:footnote w:id="23">
    <w:p w:rsidR="00000000" w:rsidDel="00000000" w:rsidP="00000000" w:rsidRDefault="00000000" w:rsidRPr="00000000" w14:paraId="00000079">
      <w:pPr>
        <w:pageBreakBefore w:val="0"/>
        <w:spacing w:line="240" w:lineRule="auto"/>
        <w:jc w:val="both"/>
        <w:rPr>
          <w:rFonts w:ascii="Book Antiqua" w:cs="Book Antiqua" w:eastAsia="Book Antiqua" w:hAnsi="Book Antiqua"/>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Book Antiqua" w:cs="Book Antiqua" w:eastAsia="Book Antiqua" w:hAnsi="Book Antiqua"/>
          <w:sz w:val="20"/>
          <w:szCs w:val="20"/>
          <w:rtl w:val="0"/>
        </w:rPr>
        <w:t xml:space="preserve">Colombia. Congreso de la República. Ley 1407 de 2010: Por medio de la cual se expide el Código Penal Militar. Artículo 93.</w:t>
      </w:r>
    </w:p>
  </w:footnote>
  <w:footnote w:id="24">
    <w:p w:rsidR="00000000" w:rsidDel="00000000" w:rsidP="00000000" w:rsidRDefault="00000000" w:rsidRPr="00000000" w14:paraId="0000007A">
      <w:pPr>
        <w:pageBreakBefore w:val="0"/>
        <w:spacing w:line="240" w:lineRule="auto"/>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Book Antiqua" w:cs="Book Antiqua" w:eastAsia="Book Antiqua" w:hAnsi="Book Antiqua"/>
          <w:sz w:val="20"/>
          <w:szCs w:val="20"/>
          <w:rtl w:val="0"/>
        </w:rPr>
        <w:t xml:space="preserve">Colombia. Congreso de la República. Ley 1407 de 2010: Por medio de la cual se expide el Código Penal Militar. Artículo 96.</w:t>
      </w:r>
      <w:r w:rsidDel="00000000" w:rsidR="00000000" w:rsidRPr="00000000">
        <w:rPr>
          <w:rtl w:val="0"/>
        </w:rPr>
      </w:r>
    </w:p>
  </w:footnote>
  <w:footnote w:id="25">
    <w:p w:rsidR="00000000" w:rsidDel="00000000" w:rsidP="00000000" w:rsidRDefault="00000000" w:rsidRPr="00000000" w14:paraId="0000007B">
      <w:pPr>
        <w:pageBreakBefore w:val="0"/>
        <w:spacing w:line="240" w:lineRule="auto"/>
        <w:jc w:val="both"/>
        <w:rPr>
          <w:rFonts w:ascii="Book Antiqua" w:cs="Book Antiqua" w:eastAsia="Book Antiqua" w:hAnsi="Book Antiqua"/>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Book Antiqua" w:cs="Book Antiqua" w:eastAsia="Book Antiqua" w:hAnsi="Book Antiqua"/>
          <w:sz w:val="20"/>
          <w:szCs w:val="20"/>
          <w:rtl w:val="0"/>
        </w:rPr>
        <w:t xml:space="preserve">Colombia. Congreso de la República. Ley 1015 de 2016: Por medio de la cual se expide el Régimen Disciplinario de la Policía Nacional. Artículo 29.</w:t>
      </w:r>
    </w:p>
  </w:footnote>
  <w:footnote w:id="1">
    <w:p w:rsidR="00000000" w:rsidDel="00000000" w:rsidP="00000000" w:rsidRDefault="00000000" w:rsidRPr="00000000" w14:paraId="0000007C">
      <w:pPr>
        <w:pageBreakBefore w:val="0"/>
        <w:spacing w:line="240" w:lineRule="auto"/>
        <w:jc w:val="both"/>
        <w:rPr>
          <w:rFonts w:ascii="Book Antiqua" w:cs="Book Antiqua" w:eastAsia="Book Antiqua" w:hAnsi="Book Antiqua"/>
          <w:sz w:val="20"/>
          <w:szCs w:val="20"/>
        </w:rPr>
      </w:pPr>
      <w:r w:rsidDel="00000000" w:rsidR="00000000" w:rsidRPr="00000000">
        <w:rPr>
          <w:rStyle w:val="FootnoteReference"/>
          <w:vertAlign w:val="superscript"/>
        </w:rPr>
        <w:footnoteRef/>
      </w:r>
      <w:r w:rsidDel="00000000" w:rsidR="00000000" w:rsidRPr="00000000">
        <w:rPr>
          <w:rFonts w:ascii="Book Antiqua" w:cs="Book Antiqua" w:eastAsia="Book Antiqua" w:hAnsi="Book Antiqua"/>
          <w:sz w:val="20"/>
          <w:szCs w:val="20"/>
          <w:rtl w:val="0"/>
        </w:rPr>
        <w:t xml:space="preserve"> Corte Constitucional. Sala Plena. Sentencia C-370 del 14 de agosto de 2019. </w:t>
      </w:r>
    </w:p>
  </w:footnote>
  <w:footnote w:id="5">
    <w:p w:rsidR="00000000" w:rsidDel="00000000" w:rsidP="00000000" w:rsidRDefault="00000000" w:rsidRPr="00000000" w14:paraId="0000007D">
      <w:pPr>
        <w:pageBreakBefore w:val="0"/>
        <w:spacing w:line="240" w:lineRule="auto"/>
        <w:jc w:val="both"/>
        <w:rPr>
          <w:rFonts w:ascii="Calibri" w:cs="Calibri" w:eastAsia="Calibri" w:hAnsi="Calibri"/>
          <w:sz w:val="20"/>
          <w:szCs w:val="20"/>
        </w:rPr>
      </w:pPr>
      <w:r w:rsidDel="00000000" w:rsidR="00000000" w:rsidRPr="00000000">
        <w:rPr>
          <w:rStyle w:val="FootnoteReference"/>
          <w:vertAlign w:val="superscript"/>
        </w:rPr>
        <w:footnoteRef/>
      </w:r>
      <w:r w:rsidDel="00000000" w:rsidR="00000000" w:rsidRPr="00000000">
        <w:rPr>
          <w:rFonts w:ascii="Book Antiqua" w:cs="Book Antiqua" w:eastAsia="Book Antiqua" w:hAnsi="Book Antiqua"/>
          <w:sz w:val="20"/>
          <w:szCs w:val="20"/>
          <w:rtl w:val="0"/>
        </w:rPr>
        <w:t xml:space="preserve"> Ibidem.</w:t>
      </w:r>
      <w:r w:rsidDel="00000000" w:rsidR="00000000" w:rsidRPr="00000000">
        <w:rPr>
          <w:rtl w:val="0"/>
        </w:rPr>
      </w:r>
    </w:p>
  </w:footnote>
  <w:footnote w:id="4">
    <w:p w:rsidR="00000000" w:rsidDel="00000000" w:rsidP="00000000" w:rsidRDefault="00000000" w:rsidRPr="00000000" w14:paraId="0000007E">
      <w:pPr>
        <w:pageBreakBefore w:val="0"/>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Book Antiqua" w:cs="Book Antiqua" w:eastAsia="Book Antiqua" w:hAnsi="Book Antiqua"/>
          <w:sz w:val="20"/>
          <w:szCs w:val="20"/>
          <w:rtl w:val="0"/>
        </w:rPr>
        <w:t xml:space="preserve">Corte Constitucional. Sala Plena. Sentencia C-728 del 14 de octubre de 2009. M.P. Gabriel Eduardo Mendoza.</w:t>
      </w:r>
      <w:r w:rsidDel="00000000" w:rsidR="00000000" w:rsidRPr="00000000">
        <w:rPr>
          <w:rtl w:val="0"/>
        </w:rPr>
      </w:r>
    </w:p>
  </w:footnote>
  <w:footnote w:id="3">
    <w:p w:rsidR="00000000" w:rsidDel="00000000" w:rsidP="00000000" w:rsidRDefault="00000000" w:rsidRPr="00000000" w14:paraId="0000007F">
      <w:pPr>
        <w:pageBreakBefore w:val="0"/>
        <w:spacing w:line="240" w:lineRule="auto"/>
        <w:jc w:val="both"/>
        <w:rPr>
          <w:rFonts w:ascii="Book Antiqua" w:cs="Book Antiqua" w:eastAsia="Book Antiqua" w:hAnsi="Book Antiqua"/>
          <w:sz w:val="20"/>
          <w:szCs w:val="20"/>
        </w:rPr>
      </w:pPr>
      <w:r w:rsidDel="00000000" w:rsidR="00000000" w:rsidRPr="00000000">
        <w:rPr>
          <w:rStyle w:val="FootnoteReference"/>
          <w:vertAlign w:val="superscript"/>
        </w:rPr>
        <w:footnoteRef/>
      </w:r>
      <w:r w:rsidDel="00000000" w:rsidR="00000000" w:rsidRPr="00000000">
        <w:rPr>
          <w:rFonts w:ascii="Calibri" w:cs="Calibri" w:eastAsia="Calibri" w:hAnsi="Calibri"/>
          <w:sz w:val="20"/>
          <w:szCs w:val="20"/>
          <w:rtl w:val="0"/>
        </w:rPr>
        <w:t xml:space="preserve"> </w:t>
      </w:r>
      <w:r w:rsidDel="00000000" w:rsidR="00000000" w:rsidRPr="00000000">
        <w:rPr>
          <w:rFonts w:ascii="Book Antiqua" w:cs="Book Antiqua" w:eastAsia="Book Antiqua" w:hAnsi="Book Antiqua"/>
          <w:sz w:val="20"/>
          <w:szCs w:val="20"/>
          <w:rtl w:val="0"/>
        </w:rPr>
        <w:t xml:space="preserve">Ibidem.</w:t>
      </w:r>
    </w:p>
  </w:footnote>
  <w:footnote w:id="2">
    <w:p w:rsidR="00000000" w:rsidDel="00000000" w:rsidP="00000000" w:rsidRDefault="00000000" w:rsidRPr="00000000" w14:paraId="00000080">
      <w:pPr>
        <w:pageBreakBefore w:val="0"/>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Book Antiqua" w:cs="Book Antiqua" w:eastAsia="Book Antiqua" w:hAnsi="Book Antiqua"/>
          <w:sz w:val="20"/>
          <w:szCs w:val="20"/>
          <w:rtl w:val="0"/>
        </w:rPr>
        <w:t xml:space="preserve">Corte Constitucional. Sala Plena. Sentencia C-274 del 25 de mayo de 2016. M.P. Luis Ernesto Vargas.</w:t>
      </w:r>
      <w:r w:rsidDel="00000000" w:rsidR="00000000" w:rsidRPr="00000000">
        <w:rPr>
          <w:rtl w:val="0"/>
        </w:rPr>
      </w:r>
    </w:p>
  </w:footnote>
  <w:footnote w:id="26">
    <w:p w:rsidR="00000000" w:rsidDel="00000000" w:rsidP="00000000" w:rsidRDefault="00000000" w:rsidRPr="00000000" w14:paraId="00000081">
      <w:pPr>
        <w:pageBreakBefore w:val="0"/>
        <w:spacing w:line="240" w:lineRule="auto"/>
        <w:jc w:val="both"/>
        <w:rPr>
          <w:rFonts w:ascii="Book Antiqua" w:cs="Book Antiqua" w:eastAsia="Book Antiqua" w:hAnsi="Book Antiqua"/>
          <w:sz w:val="20"/>
          <w:szCs w:val="20"/>
        </w:rPr>
      </w:pPr>
      <w:r w:rsidDel="00000000" w:rsidR="00000000" w:rsidRPr="00000000">
        <w:rPr>
          <w:rStyle w:val="FootnoteReference"/>
          <w:vertAlign w:val="superscript"/>
        </w:rPr>
        <w:footnoteRef/>
      </w:r>
      <w:r w:rsidDel="00000000" w:rsidR="00000000" w:rsidRPr="00000000">
        <w:rPr>
          <w:rFonts w:ascii="Book Antiqua" w:cs="Book Antiqua" w:eastAsia="Book Antiqua" w:hAnsi="Book Antiqua"/>
          <w:sz w:val="20"/>
          <w:szCs w:val="20"/>
          <w:rtl w:val="0"/>
        </w:rPr>
        <w:t xml:space="preserve"> Ibidem. Artículo 35.</w:t>
      </w:r>
    </w:p>
  </w:footnote>
  <w:footnote w:id="27">
    <w:p w:rsidR="00000000" w:rsidDel="00000000" w:rsidP="00000000" w:rsidRDefault="00000000" w:rsidRPr="00000000" w14:paraId="00000082">
      <w:pPr>
        <w:pageBreakBefore w:val="0"/>
        <w:spacing w:line="240" w:lineRule="auto"/>
        <w:rPr>
          <w:rFonts w:ascii="Book Antiqua" w:cs="Book Antiqua" w:eastAsia="Book Antiqua" w:hAnsi="Book Antiqua"/>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Book Antiqua" w:cs="Book Antiqua" w:eastAsia="Book Antiqua" w:hAnsi="Book Antiqua"/>
          <w:sz w:val="20"/>
          <w:szCs w:val="20"/>
          <w:rtl w:val="0"/>
        </w:rPr>
        <w:t xml:space="preserve">Ibidem. Artículo 36.</w:t>
      </w:r>
    </w:p>
  </w:footnote>
  <w:footnote w:id="28">
    <w:p w:rsidR="00000000" w:rsidDel="00000000" w:rsidP="00000000" w:rsidRDefault="00000000" w:rsidRPr="00000000" w14:paraId="00000083">
      <w:pPr>
        <w:pageBreakBefore w:val="0"/>
        <w:spacing w:line="240" w:lineRule="auto"/>
        <w:rPr>
          <w:rFonts w:ascii="Book Antiqua" w:cs="Book Antiqua" w:eastAsia="Book Antiqua" w:hAnsi="Book Antiqua"/>
          <w:sz w:val="20"/>
          <w:szCs w:val="20"/>
        </w:rPr>
      </w:pPr>
      <w:r w:rsidDel="00000000" w:rsidR="00000000" w:rsidRPr="00000000">
        <w:rPr>
          <w:rStyle w:val="FootnoteReference"/>
          <w:vertAlign w:val="superscript"/>
        </w:rPr>
        <w:footnoteRef/>
      </w:r>
      <w:r w:rsidDel="00000000" w:rsidR="00000000" w:rsidRPr="00000000">
        <w:rPr>
          <w:rFonts w:ascii="Book Antiqua" w:cs="Book Antiqua" w:eastAsia="Book Antiqua" w:hAnsi="Book Antiqua"/>
          <w:sz w:val="20"/>
          <w:szCs w:val="20"/>
          <w:rtl w:val="0"/>
        </w:rPr>
        <w:t xml:space="preserve"> Ibid. Artículo 41.</w:t>
      </w:r>
    </w:p>
  </w:footnote>
  <w:footnote w:id="9">
    <w:p w:rsidR="00000000" w:rsidDel="00000000" w:rsidP="00000000" w:rsidRDefault="00000000" w:rsidRPr="00000000" w14:paraId="00000084">
      <w:pPr>
        <w:pageBreakBefore w:val="0"/>
        <w:spacing w:line="240" w:lineRule="auto"/>
        <w:jc w:val="both"/>
        <w:rPr>
          <w:rFonts w:ascii="Book Antiqua" w:cs="Book Antiqua" w:eastAsia="Book Antiqua" w:hAnsi="Book Antiqua"/>
          <w:sz w:val="20"/>
          <w:szCs w:val="20"/>
        </w:rPr>
      </w:pPr>
      <w:r w:rsidDel="00000000" w:rsidR="00000000" w:rsidRPr="00000000">
        <w:rPr>
          <w:rStyle w:val="FootnoteReference"/>
          <w:vertAlign w:val="superscript"/>
        </w:rPr>
        <w:footnoteRef/>
      </w:r>
      <w:r w:rsidDel="00000000" w:rsidR="00000000" w:rsidRPr="00000000">
        <w:rPr>
          <w:rFonts w:ascii="Book Antiqua" w:cs="Book Antiqua" w:eastAsia="Book Antiqua" w:hAnsi="Book Antiqua"/>
          <w:sz w:val="20"/>
          <w:szCs w:val="20"/>
          <w:rtl w:val="0"/>
        </w:rPr>
        <w:t xml:space="preserve">Organización de las Naciones Unidas. Estatuto de Roma de la Corte Penal Internacional. Artículo 7.</w:t>
      </w:r>
    </w:p>
  </w:footnote>
  <w:footnote w:id="10">
    <w:p w:rsidR="00000000" w:rsidDel="00000000" w:rsidP="00000000" w:rsidRDefault="00000000" w:rsidRPr="00000000" w14:paraId="00000085">
      <w:pPr>
        <w:pageBreakBefore w:val="0"/>
        <w:spacing w:line="240" w:lineRule="auto"/>
        <w:rPr>
          <w:rFonts w:ascii="Book Antiqua" w:cs="Book Antiqua" w:eastAsia="Book Antiqua" w:hAnsi="Book Antiqua"/>
          <w:sz w:val="20"/>
          <w:szCs w:val="20"/>
        </w:rPr>
      </w:pPr>
      <w:r w:rsidDel="00000000" w:rsidR="00000000" w:rsidRPr="00000000">
        <w:rPr>
          <w:rStyle w:val="FootnoteReference"/>
          <w:vertAlign w:val="superscript"/>
        </w:rPr>
        <w:footnoteRef/>
      </w:r>
      <w:r w:rsidDel="00000000" w:rsidR="00000000" w:rsidRPr="00000000">
        <w:rPr>
          <w:rFonts w:ascii="Book Antiqua" w:cs="Book Antiqua" w:eastAsia="Book Antiqua" w:hAnsi="Book Antiqua"/>
          <w:sz w:val="20"/>
          <w:szCs w:val="20"/>
          <w:rtl w:val="0"/>
        </w:rPr>
        <w:t xml:space="preserve"> Ibidem.</w:t>
      </w:r>
    </w:p>
  </w:footnote>
  <w:footnote w:id="11">
    <w:p w:rsidR="00000000" w:rsidDel="00000000" w:rsidP="00000000" w:rsidRDefault="00000000" w:rsidRPr="00000000" w14:paraId="00000086">
      <w:pPr>
        <w:pageBreakBefore w:val="0"/>
        <w:spacing w:line="240" w:lineRule="auto"/>
        <w:jc w:val="both"/>
        <w:rPr>
          <w:rFonts w:ascii="Book Antiqua" w:cs="Book Antiqua" w:eastAsia="Book Antiqua" w:hAnsi="Book Antiqua"/>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Book Antiqua" w:cs="Book Antiqua" w:eastAsia="Book Antiqua" w:hAnsi="Book Antiqua"/>
          <w:sz w:val="20"/>
          <w:szCs w:val="20"/>
          <w:rtl w:val="0"/>
        </w:rPr>
        <w:t xml:space="preserve">Colombia. Corte Suprema de Justicia. Sala de Casación Penal. Auto de 13 de mayo del 2010 Nº 33118 y Sentencia de 22 de septiembre del 2009 Nº 30380.</w:t>
      </w:r>
      <w:r w:rsidDel="00000000" w:rsidR="00000000" w:rsidRPr="00000000">
        <w:rPr>
          <w:rtl w:val="0"/>
        </w:rPr>
      </w:r>
    </w:p>
  </w:footnote>
  <w:footnote w:id="12">
    <w:p w:rsidR="00000000" w:rsidDel="00000000" w:rsidP="00000000" w:rsidRDefault="00000000" w:rsidRPr="00000000" w14:paraId="00000087">
      <w:pPr>
        <w:pageBreakBefore w:val="0"/>
        <w:spacing w:line="240" w:lineRule="auto"/>
        <w:jc w:val="both"/>
        <w:rPr>
          <w:rFonts w:ascii="Book Antiqua" w:cs="Book Antiqua" w:eastAsia="Book Antiqua" w:hAnsi="Book Antiqua"/>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Garamond" w:cs="Garamond" w:eastAsia="Garamond" w:hAnsi="Garamond"/>
          <w:sz w:val="24"/>
          <w:szCs w:val="24"/>
          <w:rtl w:val="0"/>
        </w:rPr>
        <w:t xml:space="preserve"> </w:t>
      </w:r>
      <w:r w:rsidDel="00000000" w:rsidR="00000000" w:rsidRPr="00000000">
        <w:rPr>
          <w:rFonts w:ascii="Book Antiqua" w:cs="Book Antiqua" w:eastAsia="Book Antiqua" w:hAnsi="Book Antiqua"/>
          <w:sz w:val="20"/>
          <w:szCs w:val="20"/>
          <w:rtl w:val="0"/>
        </w:rPr>
        <w:t xml:space="preserve">Colombia. Corte Suprema de Justicia. Sala de Casación Civil. Sentencia del 22 de septiembre de 2020 Nº STC7641-2020.</w:t>
      </w:r>
    </w:p>
    <w:p w:rsidR="00000000" w:rsidDel="00000000" w:rsidP="00000000" w:rsidRDefault="00000000" w:rsidRPr="00000000" w14:paraId="00000088">
      <w:pPr>
        <w:pageBreakBefore w:val="0"/>
        <w:spacing w:line="240" w:lineRule="auto"/>
        <w:rPr>
          <w:sz w:val="20"/>
          <w:szCs w:val="20"/>
        </w:rPr>
      </w:pPr>
      <w:r w:rsidDel="00000000" w:rsidR="00000000" w:rsidRPr="00000000">
        <w:rPr>
          <w:rtl w:val="0"/>
        </w:rPr>
      </w:r>
    </w:p>
  </w:footnote>
  <w:footnote w:id="13">
    <w:p w:rsidR="00000000" w:rsidDel="00000000" w:rsidP="00000000" w:rsidRDefault="00000000" w:rsidRPr="00000000" w14:paraId="00000089">
      <w:pPr>
        <w:pageBreakBefore w:val="0"/>
        <w:spacing w:line="240" w:lineRule="auto"/>
        <w:jc w:val="both"/>
        <w:rPr>
          <w:rFonts w:ascii="Book Antiqua" w:cs="Book Antiqua" w:eastAsia="Book Antiqua" w:hAnsi="Book Antiqua"/>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Book Antiqua" w:cs="Book Antiqua" w:eastAsia="Book Antiqua" w:hAnsi="Book Antiqua"/>
          <w:sz w:val="20"/>
          <w:szCs w:val="20"/>
          <w:rtl w:val="0"/>
        </w:rPr>
        <w:t xml:space="preserve">Organización de los Estados Americanos. Convención Interamericana Sobre Desaparición Forzada de Personas. Artículo 9.</w:t>
      </w:r>
    </w:p>
  </w:footnote>
  <w:footnote w:id="14">
    <w:p w:rsidR="00000000" w:rsidDel="00000000" w:rsidP="00000000" w:rsidRDefault="00000000" w:rsidRPr="00000000" w14:paraId="0000008A">
      <w:pPr>
        <w:pageBreakBefore w:val="0"/>
        <w:spacing w:line="240" w:lineRule="auto"/>
        <w:jc w:val="both"/>
        <w:rPr>
          <w:rFonts w:ascii="Book Antiqua" w:cs="Book Antiqua" w:eastAsia="Book Antiqua" w:hAnsi="Book Antiqua"/>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Book Antiqua" w:cs="Book Antiqua" w:eastAsia="Book Antiqua" w:hAnsi="Book Antiqua"/>
          <w:sz w:val="20"/>
          <w:szCs w:val="20"/>
          <w:rtl w:val="0"/>
        </w:rPr>
        <w:t xml:space="preserve">Colombia. Congreso de la República. Ley 1407 de 2010: Por medio de la cual se expide el Código Penal Militar.</w:t>
      </w:r>
    </w:p>
  </w:footnote>
  <w:footnote w:id="15">
    <w:p w:rsidR="00000000" w:rsidDel="00000000" w:rsidP="00000000" w:rsidRDefault="00000000" w:rsidRPr="00000000" w14:paraId="0000008B">
      <w:pPr>
        <w:pageBreakBefore w:val="0"/>
        <w:spacing w:line="240" w:lineRule="auto"/>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Book Antiqua" w:cs="Book Antiqua" w:eastAsia="Book Antiqua" w:hAnsi="Book Antiqua"/>
          <w:sz w:val="20"/>
          <w:szCs w:val="20"/>
          <w:rtl w:val="0"/>
        </w:rPr>
        <w:t xml:space="preserve">Colombia. Corte Constitucional. Sala Plena. Sentencia C-578 del 4 de diciembre de 1995. M.P. Eduardo Cifuentes Muñoz.</w:t>
      </w:r>
      <w:r w:rsidDel="00000000" w:rsidR="00000000" w:rsidRPr="00000000">
        <w:rPr>
          <w:rtl w:val="0"/>
        </w:rPr>
      </w:r>
    </w:p>
  </w:footnote>
  <w:footnote w:id="16">
    <w:p w:rsidR="00000000" w:rsidDel="00000000" w:rsidP="00000000" w:rsidRDefault="00000000" w:rsidRPr="00000000" w14:paraId="0000008C">
      <w:pPr>
        <w:pageBreakBefore w:val="0"/>
        <w:spacing w:line="240" w:lineRule="auto"/>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Book Antiqua" w:cs="Book Antiqua" w:eastAsia="Book Antiqua" w:hAnsi="Book Antiqua"/>
          <w:sz w:val="20"/>
          <w:szCs w:val="20"/>
          <w:rtl w:val="0"/>
        </w:rPr>
        <w:t xml:space="preserve">Organización de las Naciones Unidas. Estatuto de Roma de la Corte Penal Internacional. Artículo 33.</w:t>
      </w:r>
      <w:r w:rsidDel="00000000" w:rsidR="00000000" w:rsidRPr="00000000">
        <w:rPr>
          <w:rtl w:val="0"/>
        </w:rPr>
      </w:r>
    </w:p>
  </w:footnote>
  <w:footnote w:id="17">
    <w:p w:rsidR="00000000" w:rsidDel="00000000" w:rsidP="00000000" w:rsidRDefault="00000000" w:rsidRPr="00000000" w14:paraId="0000008D">
      <w:pPr>
        <w:pageBreakBefore w:val="0"/>
        <w:spacing w:line="240" w:lineRule="auto"/>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Book Antiqua" w:cs="Book Antiqua" w:eastAsia="Book Antiqua" w:hAnsi="Book Antiqua"/>
          <w:sz w:val="20"/>
          <w:szCs w:val="20"/>
          <w:rtl w:val="0"/>
        </w:rPr>
        <w:t xml:space="preserve">Organización de los Estados Americanos. Convención Interamericana Sobre Desaparición Forzada de Personas. Artículo 9.</w:t>
      </w:r>
      <w:r w:rsidDel="00000000" w:rsidR="00000000" w:rsidRPr="00000000">
        <w:rPr>
          <w:rtl w:val="0"/>
        </w:rPr>
      </w:r>
    </w:p>
  </w:footnote>
  <w:footnote w:id="18">
    <w:p w:rsidR="00000000" w:rsidDel="00000000" w:rsidP="00000000" w:rsidRDefault="00000000" w:rsidRPr="00000000" w14:paraId="0000008E">
      <w:pPr>
        <w:pageBreakBefore w:val="0"/>
        <w:spacing w:line="240" w:lineRule="auto"/>
        <w:jc w:val="both"/>
        <w:rPr>
          <w:rFonts w:ascii="Book Antiqua" w:cs="Book Antiqua" w:eastAsia="Book Antiqua" w:hAnsi="Book Antiqua"/>
          <w:sz w:val="20"/>
          <w:szCs w:val="20"/>
        </w:rPr>
      </w:pPr>
      <w:r w:rsidDel="00000000" w:rsidR="00000000" w:rsidRPr="00000000">
        <w:rPr>
          <w:rStyle w:val="FootnoteReference"/>
          <w:vertAlign w:val="superscript"/>
        </w:rPr>
        <w:footnoteRef/>
      </w:r>
      <w:r w:rsidDel="00000000" w:rsidR="00000000" w:rsidRPr="00000000">
        <w:rPr>
          <w:rFonts w:ascii="Book Antiqua" w:cs="Book Antiqua" w:eastAsia="Book Antiqua" w:hAnsi="Book Antiqua"/>
          <w:sz w:val="20"/>
          <w:szCs w:val="20"/>
          <w:rtl w:val="0"/>
        </w:rPr>
        <w:t xml:space="preserve"> Colombia. Congreso de la República. Ley 1862 de 2017: </w:t>
      </w:r>
      <w:r w:rsidDel="00000000" w:rsidR="00000000" w:rsidRPr="00000000">
        <w:rPr>
          <w:rFonts w:ascii="Book Antiqua" w:cs="Book Antiqua" w:eastAsia="Book Antiqua" w:hAnsi="Book Antiqua"/>
          <w:sz w:val="20"/>
          <w:szCs w:val="20"/>
          <w:rtl w:val="0"/>
        </w:rPr>
        <w:t xml:space="preserve">Por la cual se establecen las normas de conducta del Militar Colombiano y se expide el Código Disciplinario Militar. Artículo 9.</w:t>
      </w:r>
      <w:r w:rsidDel="00000000" w:rsidR="00000000" w:rsidRPr="00000000">
        <w:rPr>
          <w:rtl w:val="0"/>
        </w:rPr>
      </w:r>
    </w:p>
  </w:footnote>
  <w:footnote w:id="19">
    <w:p w:rsidR="00000000" w:rsidDel="00000000" w:rsidP="00000000" w:rsidRDefault="00000000" w:rsidRPr="00000000" w14:paraId="0000008F">
      <w:pPr>
        <w:pageBreakBefore w:val="0"/>
        <w:spacing w:line="240" w:lineRule="auto"/>
        <w:jc w:val="both"/>
        <w:rPr>
          <w:rFonts w:ascii="Book Antiqua" w:cs="Book Antiqua" w:eastAsia="Book Antiqua" w:hAnsi="Book Antiqua"/>
          <w:sz w:val="20"/>
          <w:szCs w:val="20"/>
        </w:rPr>
      </w:pPr>
      <w:r w:rsidDel="00000000" w:rsidR="00000000" w:rsidRPr="00000000">
        <w:rPr>
          <w:rStyle w:val="FootnoteReference"/>
          <w:vertAlign w:val="superscript"/>
        </w:rPr>
        <w:footnoteRef/>
      </w:r>
      <w:r w:rsidDel="00000000" w:rsidR="00000000" w:rsidRPr="00000000">
        <w:rPr>
          <w:rFonts w:ascii="Book Antiqua" w:cs="Book Antiqua" w:eastAsia="Book Antiqua" w:hAnsi="Book Antiqua"/>
          <w:sz w:val="20"/>
          <w:szCs w:val="20"/>
          <w:rtl w:val="0"/>
        </w:rPr>
        <w:t xml:space="preserve"> Ibidem. Artículo 10.</w:t>
      </w:r>
    </w:p>
  </w:footnote>
  <w:footnote w:id="20">
    <w:p w:rsidR="00000000" w:rsidDel="00000000" w:rsidP="00000000" w:rsidRDefault="00000000" w:rsidRPr="00000000" w14:paraId="00000090">
      <w:pPr>
        <w:pageBreakBefore w:val="0"/>
        <w:spacing w:line="240" w:lineRule="auto"/>
        <w:rPr>
          <w:rFonts w:ascii="Book Antiqua" w:cs="Book Antiqua" w:eastAsia="Book Antiqua" w:hAnsi="Book Antiqua"/>
          <w:sz w:val="20"/>
          <w:szCs w:val="20"/>
        </w:rPr>
      </w:pPr>
      <w:r w:rsidDel="00000000" w:rsidR="00000000" w:rsidRPr="00000000">
        <w:rPr>
          <w:rStyle w:val="FootnoteReference"/>
          <w:vertAlign w:val="superscript"/>
        </w:rPr>
        <w:footnoteRef/>
      </w:r>
      <w:r w:rsidDel="00000000" w:rsidR="00000000" w:rsidRPr="00000000">
        <w:rPr>
          <w:rFonts w:ascii="Book Antiqua" w:cs="Book Antiqua" w:eastAsia="Book Antiqua" w:hAnsi="Book Antiqua"/>
          <w:sz w:val="20"/>
          <w:szCs w:val="20"/>
          <w:rtl w:val="0"/>
        </w:rPr>
        <w:t xml:space="preserve"> Ibidem.</w:t>
      </w:r>
    </w:p>
  </w:footnote>
  <w:footnote w:id="21">
    <w:p w:rsidR="00000000" w:rsidDel="00000000" w:rsidP="00000000" w:rsidRDefault="00000000" w:rsidRPr="00000000" w14:paraId="00000091">
      <w:pPr>
        <w:pageBreakBefore w:val="0"/>
        <w:spacing w:line="240" w:lineRule="auto"/>
        <w:jc w:val="both"/>
        <w:rPr>
          <w:sz w:val="20"/>
          <w:szCs w:val="20"/>
        </w:rPr>
      </w:pPr>
      <w:r w:rsidDel="00000000" w:rsidR="00000000" w:rsidRPr="00000000">
        <w:rPr>
          <w:rStyle w:val="FootnoteReference"/>
          <w:vertAlign w:val="superscript"/>
        </w:rPr>
        <w:footnoteRef/>
      </w:r>
      <w:r w:rsidDel="00000000" w:rsidR="00000000" w:rsidRPr="00000000">
        <w:rPr>
          <w:rFonts w:ascii="Book Antiqua" w:cs="Book Antiqua" w:eastAsia="Book Antiqua" w:hAnsi="Book Antiqua"/>
          <w:sz w:val="20"/>
          <w:szCs w:val="20"/>
          <w:rtl w:val="0"/>
        </w:rPr>
        <w:t xml:space="preserve"> Corte Constitucional. Sala Plena. Sentencia C-431 del 6 de mayo de 2004. M.P. Marco Gerardo Monroy Cabra.</w:t>
      </w:r>
      <w:r w:rsidDel="00000000" w:rsidR="00000000" w:rsidRPr="00000000">
        <w:rPr>
          <w:rtl w:val="0"/>
        </w:rPr>
      </w:r>
    </w:p>
  </w:footnote>
  <w:footnote w:id="22">
    <w:p w:rsidR="00000000" w:rsidDel="00000000" w:rsidP="00000000" w:rsidRDefault="00000000" w:rsidRPr="00000000" w14:paraId="00000092">
      <w:pPr>
        <w:pageBreakBefore w:val="0"/>
        <w:spacing w:line="240" w:lineRule="auto"/>
        <w:jc w:val="both"/>
        <w:rPr>
          <w:rFonts w:ascii="Book Antiqua" w:cs="Book Antiqua" w:eastAsia="Book Antiqua" w:hAnsi="Book Antiqua"/>
          <w:sz w:val="16"/>
          <w:szCs w:val="16"/>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Book Antiqua" w:cs="Book Antiqua" w:eastAsia="Book Antiqua" w:hAnsi="Book Antiqua"/>
          <w:sz w:val="20"/>
          <w:szCs w:val="20"/>
          <w:highlight w:val="white"/>
          <w:rtl w:val="0"/>
        </w:rPr>
        <w:t xml:space="preserve">Corte Constitucional. Sala Plena. Sentencia C-570 del 27 de noviembre de 2019. M.P. Diana Fajardo. </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 Id="rId5" Type="http://schemas.openxmlformats.org/officeDocument/2006/relationships/font" Target="fonts/BookAntiqua-regular.ttf"/><Relationship Id="rId6" Type="http://schemas.openxmlformats.org/officeDocument/2006/relationships/font" Target="fonts/BookAntiqua-bold.ttf"/><Relationship Id="rId7" Type="http://schemas.openxmlformats.org/officeDocument/2006/relationships/font" Target="fonts/BookAntiqua-italic.ttf"/><Relationship Id="rId8" Type="http://schemas.openxmlformats.org/officeDocument/2006/relationships/font" Target="fonts/BookAntiqu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